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</w:t>
      </w:r>
      <w:r>
        <w:t xml:space="preserve"> </w:t>
      </w:r>
      <w:r>
        <w:rPr>
          <w:bCs/>
          <w:b/>
        </w:rPr>
        <w:t xml:space="preserve">REACTIVO</w:t>
      </w:r>
      <w:r>
        <w:t xml:space="preserve"> </w:t>
      </w:r>
      <w:r>
        <w:t xml:space="preserve">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</w:t>
      </w:r>
      <w:r>
        <w:t xml:space="preserve"> </w:t>
      </w:r>
      <w:r>
        <w:rPr>
          <w:bCs/>
          <w:b/>
        </w:rPr>
        <w:t xml:space="preserve">Política de Gobierno Digital</w:t>
      </w:r>
      <w:r>
        <w:t xml:space="preserve"> </w:t>
      </w:r>
      <w:r>
        <w:t xml:space="preserve">del</w:t>
      </w:r>
      <w:r>
        <w:t xml:space="preserve"> </w:t>
      </w:r>
      <w:r>
        <w:rPr>
          <w:bCs/>
          <w:b/>
        </w:rPr>
        <w:t xml:space="preserve">Ministerio de Tecnologías de la Información y las Comunicaciones</w:t>
      </w:r>
    </w:p>
    <w:p>
      <w:pPr>
        <w:pStyle w:val="Textoindependiente"/>
      </w:pPr>
      <w:r>
        <w:t xml:space="preserve">Y dentro de esos procesos misionales, las actividades asociadas a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</w:t>
      </w:r>
      <w:r>
        <w:t xml:space="preserve"> </w:t>
      </w:r>
      <w:r>
        <w:rPr>
          <w:bCs/>
          <w:b/>
        </w:rPr>
        <w:t xml:space="preserve">dos meses</w:t>
      </w:r>
      <w:r>
        <w:t xml:space="preserve"> </w:t>
      </w:r>
      <w:r>
        <w:t xml:space="preserve">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20"/>
    <w:bookmarkStart w:id="25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1"/>
        </w:numPr>
        <w:pStyle w:val="Compact"/>
      </w:pPr>
      <w:r>
        <w:t xml:space="preserve">Los procesos de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1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1"/>
        </w:numPr>
        <w:pStyle w:val="Compact"/>
      </w:pPr>
      <w:r>
        <w:t xml:space="preserve">Los servicios derivados del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1"/>
        </w:numPr>
        <w:pStyle w:val="Compact"/>
      </w:pPr>
      <w:r>
        <w:t xml:space="preserve">La infraestructura tecnológica que soporta los servicios</w:t>
      </w:r>
    </w:p>
    <w:bookmarkStart w:id="21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</w:t>
      </w:r>
      <w:r>
        <w:t xml:space="preserve"> </w:t>
      </w:r>
      <w:r>
        <w:rPr>
          <w:bCs/>
          <w:b/>
        </w:rPr>
        <w:t xml:space="preserve">e-Competence Framework (e-CF)—A common European Framework for ICT Professionals in all industry sectors—Part 1: Framework, 2016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2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2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2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2"/>
        </w:numPr>
        <w:pStyle w:val="Compact"/>
      </w:pPr>
      <w:r>
        <w:t xml:space="preserve">Atención de problemas</w:t>
      </w:r>
    </w:p>
    <w:p>
      <w:pPr>
        <w:numPr>
          <w:ilvl w:val="0"/>
          <w:numId w:val="1002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</w:t>
      </w:r>
      <w:r>
        <w:t xml:space="preserve"> </w:t>
      </w:r>
      <w:r>
        <w:rPr>
          <w:bCs/>
          <w:b/>
        </w:rPr>
        <w:t xml:space="preserve">MinTIC</w:t>
      </w:r>
      <w:r>
        <w:t xml:space="preserve">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3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3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3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21"/>
    <w:bookmarkStart w:id="22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 </w:t>
      </w:r>
      <w:r>
        <w:t xml:space="preserve">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</w:t>
      </w:r>
      <w:r>
        <w:t xml:space="preserve"> </w:t>
      </w:r>
      <w:r>
        <w:rPr>
          <w:bCs/>
          <w:b/>
        </w:rPr>
        <w:t xml:space="preserve">Gobierno SOA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numPr>
          <w:ilvl w:val="0"/>
          <w:numId w:val="1004"/>
        </w:numPr>
        <w:pStyle w:val="Compact"/>
      </w:pPr>
      <w:r>
        <w:t xml:space="preserve">Procesos</w:t>
      </w:r>
    </w:p>
    <w:p>
      <w:pPr>
        <w:numPr>
          <w:ilvl w:val="0"/>
          <w:numId w:val="1004"/>
        </w:numPr>
        <w:pStyle w:val="Compact"/>
      </w:pPr>
      <w:r>
        <w:t xml:space="preserve">Estructura</w:t>
      </w:r>
    </w:p>
    <w:p>
      <w:pPr>
        <w:numPr>
          <w:ilvl w:val="0"/>
          <w:numId w:val="1004"/>
        </w:numPr>
        <w:pStyle w:val="Compact"/>
      </w:pPr>
      <w:r>
        <w:t xml:space="preserve">Habilidades y Competencias</w:t>
      </w:r>
    </w:p>
    <w:p>
      <w:pPr>
        <w:numPr>
          <w:ilvl w:val="0"/>
          <w:numId w:val="1004"/>
        </w:numPr>
        <w:pStyle w:val="Compact"/>
      </w:pPr>
      <w:r>
        <w:t xml:space="preserve">Políticas</w:t>
      </w:r>
    </w:p>
    <w:p>
      <w:pPr>
        <w:numPr>
          <w:ilvl w:val="0"/>
          <w:numId w:val="1004"/>
        </w:numPr>
        <w:pStyle w:val="Compact"/>
      </w:pPr>
      <w:r>
        <w:t xml:space="preserve">Cultura y Ética</w:t>
      </w:r>
    </w:p>
    <w:p>
      <w:pPr>
        <w:numPr>
          <w:ilvl w:val="0"/>
          <w:numId w:val="1004"/>
        </w:numPr>
        <w:pStyle w:val="Compact"/>
      </w:pPr>
      <w:r>
        <w:t xml:space="preserve">Infraestructura</w:t>
      </w:r>
    </w:p>
    <w:p>
      <w:pPr>
        <w:numPr>
          <w:ilvl w:val="0"/>
          <w:numId w:val="1004"/>
        </w:numPr>
        <w:pStyle w:val="Compact"/>
      </w:pPr>
      <w:r>
        <w:t xml:space="preserve">Elementos de Información</w:t>
      </w:r>
    </w:p>
    <w:bookmarkEnd w:id="22"/>
    <w:bookmarkStart w:id="23" w:name="desarrollo-de-arquitecturas-fna"/>
    <w:p>
      <w:pPr>
        <w:pStyle w:val="Ttulo3"/>
      </w:pPr>
      <w:r>
        <w:t xml:space="preserve">Desarrollo de Arquitecturas FNA</w:t>
      </w:r>
    </w:p>
    <w:p>
      <w:pPr>
        <w:pStyle w:val="FirstParagraph"/>
      </w:pPr>
      <w:r>
        <w:t xml:space="preserve">Dentro del dominio motivacional; una de las metas claves de la vista de segmento corresponde al desarrollo de arquitecturas, como</w:t>
      </w:r>
      <w:r>
        <w:t xml:space="preserve"> </w:t>
      </w:r>
      <w:r>
        <w:t xml:space="preserve">elementos rectores de gobierno de los procesos: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De acuerdo al Marco de Referencia de Arquitectura Empresarial -</w:t>
      </w:r>
      <w:r>
        <w:t xml:space="preserve"> </w:t>
      </w:r>
      <w:r>
        <w:rPr>
          <w:bCs/>
          <w:b/>
        </w:rPr>
        <w:t xml:space="preserve">MRAE</w:t>
      </w:r>
      <w:r>
        <w:t xml:space="preserve"> </w:t>
      </w:r>
      <w:r>
        <w:t xml:space="preserve">del MinTIC es necesario generar una articulación entre: las</w:t>
      </w:r>
      <w:r>
        <w:t xml:space="preserve"> </w:t>
      </w:r>
      <w:r>
        <w:t xml:space="preserve">iniciativas que se generan desde los dos procesos que son parte del alcance de esta fase; la ejecución de los proyectos que se generaron</w:t>
      </w:r>
      <w:r>
        <w:t xml:space="preserve"> </w:t>
      </w:r>
      <w:r>
        <w:t xml:space="preserve">a partir de aquellas iniciativas; y una gestión y monitoreo de los impactos de la finalización de los proyectos y los productos que</w:t>
      </w:r>
      <w:r>
        <w:t xml:space="preserve"> </w:t>
      </w:r>
      <w:r>
        <w:t xml:space="preserve">entregan a nivel de servicios.</w:t>
      </w:r>
    </w:p>
    <w:p>
      <w:pPr>
        <w:pStyle w:val="Textoindependiente"/>
      </w:pPr>
      <w:r>
        <w:t xml:space="preserve">A través de la práctica de arquitectura, el FNA empieza a generar un gobierno del diseño y posterior implmentación de los servicios</w:t>
      </w:r>
      <w:r>
        <w:t xml:space="preserve"> </w:t>
      </w:r>
      <w:r>
        <w:t xml:space="preserve">y soluciones digitales que presta a los ciudadanos.</w:t>
      </w:r>
    </w:p>
    <w:bookmarkEnd w:id="23"/>
    <w:bookmarkStart w:id="24" w:name="gestión-de-arquitectura-fna"/>
    <w:p>
      <w:pPr>
        <w:pStyle w:val="Ttulo3"/>
      </w:pPr>
      <w:r>
        <w:t xml:space="preserve">Gestión de Arquitectura FNA**</w:t>
      </w:r>
    </w:p>
    <w:p>
      <w:pPr>
        <w:pStyle w:val="FirstParagraph"/>
      </w:pPr>
      <w:r>
        <w:t xml:space="preserve">Este componente está orientado a la instauración del Gobierno de Arquitectura; con los elementos que lo componen: Procesos, Estructura,</w:t>
      </w:r>
      <w:r>
        <w:t xml:space="preserve"> </w:t>
      </w:r>
      <w:r>
        <w:t xml:space="preserve">Habilidades y Competencias, Políticas, Cultura y Ëtica, Infraestructura y Elementos de Información.</w:t>
      </w:r>
    </w:p>
    <w:p>
      <w:pPr>
        <w:pStyle w:val="Textoindependiente"/>
      </w:pPr>
      <w:r>
        <w:t xml:space="preserve">Es un objetivo a cumplir para los procesos definnidos en esta fase: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2023-05-31T17:16:07Z</dcterms:created>
  <dcterms:modified xsi:type="dcterms:W3CDTF">2023-05-31T17:16:07Z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