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9fea3bd del 01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1"/>
        </w:numPr>
        <w:pStyle w:val="Compact"/>
      </w:pPr>
      <w:r>
        <w:t xml:space="preserve">La infraestructura tecnológica que soporta los servicios</w:t>
      </w: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w:t>
      </w:r>
      <w:r>
        <w:t xml:space="preserve"> </w:t>
      </w:r>
      <w:r>
        <w:t xml:space="preserve">recomendaciones de los marcos de referencia:</w:t>
      </w:r>
      <w:r>
        <w:t xml:space="preserve"> </w:t>
      </w:r>
      <w:r>
        <w:rPr>
          <w:bCs/>
          <w:b/>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w:t>
      </w:r>
      <w:r>
        <w:t xml:space="preserve"> </w:t>
      </w:r>
      <w:r>
        <w:t xml:space="preserve">la adquisición/contratación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2023-06-01T18:36:27Z</dcterms:created>
  <dcterms:modified xsi:type="dcterms:W3CDTF">2023-06-01T18:36:27Z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