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639fffb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 específicamente de la evaluación de madurez de SOA del FNA, Negocio, Organización y Gobierno, Método, Aplicaciones, Arquitectura, Información e Infraestructura; el FNA se encuentra en un nivel de madurez</w:t>
      </w:r>
      <w:r>
        <w:t xml:space="preserve"> </w:t>
      </w:r>
      <w:r>
        <w:rPr>
          <w:bCs/>
          <w:b/>
        </w:rPr>
        <w:t xml:space="preserve">REACTIVO</w:t>
      </w:r>
      <w:r>
        <w:t xml:space="preserve"> </w:t>
      </w:r>
      <w:r>
        <w:t xml:space="preserve">asociado a una gestión de información en modo aislado según las necesidades de cada área/sistema y por otra parte se encuentran soluciones específicas 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 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2023-06-02T13:16:14Z</dcterms:created>
  <dcterms:modified xsi:type="dcterms:W3CDTF">2023-06-02T13:16:14Z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