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923b5ff del 31 May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26"/>
    <w:bookmarkStart w:id="27"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r>
        <w:t xml:space="preserve">,</w:t>
      </w:r>
      <w:r>
        <w:t xml:space="preserve"> </w:t>
      </w:r>
      <w:r>
        <w:t xml:space="preserve">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numPr>
          <w:ilvl w:val="0"/>
          <w:numId w:val="1001"/>
        </w:numPr>
        <w:pStyle w:val="Compact"/>
      </w:pPr>
      <w:r>
        <w:t xml:space="preserve">La infraestructura tecnológica que soporta los servicios</w:t>
      </w:r>
    </w:p>
    <w:bookmarkStart w:id="28"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w:t>
      </w:r>
      <w:r>
        <w:t xml:space="preserve"> </w:t>
      </w:r>
      <w:r>
        <w:t xml:space="preserve">recomendaciones de los marcos de referencia:</w:t>
      </w:r>
      <w:r>
        <w:t xml:space="preserve"> </w:t>
      </w:r>
      <w:r>
        <w:rPr>
          <w:bCs/>
          <w:b/>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w:t>
      </w:r>
      <w:r>
        <w:t xml:space="preserve"> </w:t>
      </w:r>
      <w:r>
        <w:t xml:space="preserve">la adquisición/contratación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28"/>
    <w:bookmarkStart w:id="29"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bookmarkEnd w:id="29"/>
    <w:bookmarkStart w:id="30"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w:t>
      </w:r>
      <w:r>
        <w:t xml:space="preserve"> </w:t>
      </w:r>
      <w:r>
        <w:t xml:space="preserve">iniciativas que se generan desde los dos procesos que son parte del alcance de esta fase; la ejecución de los proyectos que se generaron</w:t>
      </w:r>
      <w:r>
        <w:t xml:space="preserve"> </w:t>
      </w:r>
      <w:r>
        <w:t xml:space="preserve">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w:t>
      </w:r>
      <w:r>
        <w:t xml:space="preserve"> </w:t>
      </w:r>
      <w:r>
        <w:t xml:space="preserve">y soluciones digitales que presta a los ciudadanos.</w:t>
      </w:r>
    </w:p>
    <w:bookmarkEnd w:id="30"/>
    <w:bookmarkStart w:id="31"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w:t>
      </w:r>
      <w:r>
        <w:t xml:space="preserve"> </w:t>
      </w:r>
      <w:r>
        <w:t xml:space="preserve">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2023-05-31T21:41:19Z</dcterms:created>
  <dcterms:modified xsi:type="dcterms:W3CDTF">2023-05-31T21:41:19Z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