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1.9360f79 del 21 Jul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importantes. Primero, que el ejercicio actual, de gobierno SOA, aunque sea de carácter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este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beneficiarios del FNA</w:t>
      </w:r>
    </w:p>
    <w:p>
      <w:pPr>
        <w:numPr>
          <w:ilvl w:val="0"/>
          <w:numId w:val="1003"/>
        </w:numPr>
        <w:pStyle w:val="Compact"/>
      </w:pPr>
      <w:r>
        <w:t xml:space="preserve">Solución de problemas complejos a través de la arquitectura</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asertiva,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con el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 entregan a nivel de servicios.</w:t>
      </w:r>
    </w:p>
    <w:p>
      <w:pPr>
        <w:pStyle w:val="Textoindependiente"/>
      </w:pPr>
      <w:r>
        <w:t xml:space="preserve">A través de la práctica de arquitectura, el FNA empieza a generar un gobierno del diseño y posterior implementación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ética, y elementos de información.</w:t>
      </w:r>
    </w:p>
    <w:p>
      <w:pPr>
        <w:pStyle w:val="Textoindependiente"/>
      </w:pPr>
      <w:r>
        <w:t xml:space="preserve">Es un objetivo por cumplir para los procesos definidos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2023-07-21T17:41:44Z</dcterms:created>
  <dcterms:modified xsi:type="dcterms:W3CDTF">2023-07-21T17:41:44Z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