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dc18380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r>
        <w:t xml:space="preserve">,</w:t>
      </w:r>
      <w:r>
        <w:t xml:space="preserve"> </w:t>
      </w:r>
      <w:r>
        <w:t xml:space="preserve">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La infraestructura tecnológica que soporta los servicios</w:t>
      </w: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w:t>
      </w:r>
      <w:r>
        <w:t xml:space="preserve"> </w:t>
      </w:r>
      <w:r>
        <w:t xml:space="preserve">iniciativas que se generan desde los dos procesos que son parte del alcance de esta fase; la ejecución de los proyectos que se generaron</w:t>
      </w:r>
      <w:r>
        <w:t xml:space="preserve"> </w:t>
      </w:r>
      <w:r>
        <w:t xml:space="preserve">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w:t>
      </w:r>
      <w:r>
        <w:t xml:space="preserve"> </w:t>
      </w:r>
      <w:r>
        <w:t xml:space="preserve">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w:t>
      </w:r>
      <w:r>
        <w:t xml:space="preserve"> </w:t>
      </w:r>
      <w:r>
        <w:t xml:space="preserve">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2023-06-01T17:38:38Z</dcterms:created>
  <dcterms:modified xsi:type="dcterms:W3CDTF">2023-06-01T17:38:38Z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