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6.png" ContentType="image/png"/>
  <Override PartName="/word/media/rId30.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tbl>
      <w:tblPr>
        <w:tblStyle w:val="Table"/>
        <w:tblW w:type="pct" w:w="5000"/>
        <w:tblLook w:firstRow="1" w:lastRow="0" w:firstColumn="0" w:lastColumn="0" w:noHBand="0" w:noVBand="0" w:val="0020"/>
      </w:tblPr>
      <w:tblGrid>
        <w:gridCol w:w="649"/>
        <w:gridCol w:w="7270"/>
      </w:tblGrid>
      <w:tr>
        <w:trPr>
          <w:tblHeader w:val="true"/>
        </w:trPr>
        <w:tc>
          <w:tcPr/>
          <w:p>
            <w:pPr>
              <w:pStyle w:val="Compact"/>
              <w:jc w:val="left"/>
            </w:pPr>
            <w:r>
              <w:t xml:space="preserve">Tema</w:t>
            </w:r>
          </w:p>
        </w:tc>
        <w:tc>
          <w:tcPr/>
          <w:p>
            <w:pPr>
              <w:pStyle w:val="Compact"/>
              <w:jc w:val="left"/>
            </w:pPr>
            <w:r>
              <w:t xml:space="preserve">Justificación Segmento Empresa FNA: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1.2b8adc7 del 09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Resultados y métricas del diagnóstico de madurez SOA</w:t>
              </w:r>
            </w:hyperlink>
          </w:p>
        </w:tc>
      </w:tr>
    </w:tbl>
    <w:p>
      <w:pPr>
        <w:pStyle w:val="Textoindependiente"/>
      </w:pPr>
    </w:p>
    <w:bookmarkStart w:id="34"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22"/>
      </w:r>
      <w:r>
        <w:t xml:space="preserve">, tal que</w:t>
      </w:r>
      <w:r>
        <w:t xml:space="preserve"> </w:t>
      </w:r>
      <w:r>
        <w:rPr>
          <w:iCs/>
          <w:i/>
        </w:rPr>
        <w:t xml:space="preserve">implica una operación reactiva</w:t>
      </w:r>
      <w:r>
        <w:t xml:space="preserve"> </w:t>
      </w:r>
      <w:r>
        <w:t xml:space="preserve">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gobieno SOA, objeto de este proyecto, y en consecuencia, impactar también las tareas de mejorar la calidad de las soluciones de software que están detrás y que soportan a los servicios SOA con los que la entidad se relaciona con el cliente beneficiario del Fondo, y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p>
      <w:pPr>
        <w:pStyle w:val="Figure"/>
      </w:pPr>
      <w:r>
        <w:drawing>
          <wp:inline>
            <wp:extent cx="5600700" cy="2403804"/>
            <wp:effectExtent b="0" l="0" r="0" t="0"/>
            <wp:docPr descr="" title="" id="24" name="Picture"/>
            <a:graphic>
              <a:graphicData uri="http://schemas.openxmlformats.org/drawingml/2006/picture">
                <pic:pic>
                  <pic:nvPicPr>
                    <pic:cNvPr descr="images/madurezInfo.png" id="25" name="Picture"/>
                    <pic:cNvPicPr>
                      <a:picLocks noChangeArrowheads="1" noChangeAspect="1"/>
                    </pic:cNvPicPr>
                  </pic:nvPicPr>
                  <pic:blipFill>
                    <a:blip r:embed="rId23"/>
                    <a:stretch>
                      <a:fillRect/>
                    </a:stretch>
                  </pic:blipFill>
                  <pic:spPr bwMode="auto">
                    <a:xfrm>
                      <a:off x="0" y="0"/>
                      <a:ext cx="5600700" cy="2403804"/>
                    </a:xfrm>
                    <a:prstGeom prst="rect">
                      <a:avLst/>
                    </a:prstGeom>
                    <a:noFill/>
                    <a:ln w="9525">
                      <a:noFill/>
                      <a:headEnd/>
                      <a:tailEnd/>
                    </a:ln>
                  </pic:spPr>
                </pic:pic>
              </a:graphicData>
            </a:graphic>
          </wp:inline>
        </w:drawing>
      </w:r>
    </w:p>
    <w:bookmarkStart w:id="0" w:name="fig:531ee280-0d03-4866-ad04-d84d58a1009b"/>
    <w:p>
      <w:pPr>
        <w:pStyle w:val="CaptionedFigure"/>
      </w:pPr>
      <w:bookmarkStart w:id="29" w:name="fig:"/>
      <w:r>
        <w:drawing>
          <wp:inline>
            <wp:extent cx="5600700" cy="4232267"/>
            <wp:effectExtent b="0" l="0" r="0" t="0"/>
            <wp:docPr descr="Imagen 1: Resultados y métricas del diagnóstico de madurez SOA. Todos los dominios." title="" id="27" name="Picture"/>
            <a:graphic>
              <a:graphicData uri="http://schemas.openxmlformats.org/drawingml/2006/picture">
                <pic:pic>
                  <pic:nvPicPr>
                    <pic:cNvPr descr="images/madurezInfo_graf.png" id="28" name="Picture"/>
                    <pic:cNvPicPr>
                      <a:picLocks noChangeArrowheads="1" noChangeAspect="1"/>
                    </pic:cNvPicPr>
                  </pic:nvPicPr>
                  <pic:blipFill>
                    <a:blip r:embed="rId26"/>
                    <a:stretch>
                      <a:fillRect/>
                    </a:stretch>
                  </pic:blipFill>
                  <pic:spPr bwMode="auto">
                    <a:xfrm>
                      <a:off x="0" y="0"/>
                      <a:ext cx="5600700" cy="4232267"/>
                    </a:xfrm>
                    <a:prstGeom prst="rect">
                      <a:avLst/>
                    </a:prstGeom>
                    <a:noFill/>
                    <a:ln w="9525">
                      <a:noFill/>
                      <a:headEnd/>
                      <a:tailEnd/>
                    </a:ln>
                  </pic:spPr>
                </pic:pic>
              </a:graphicData>
            </a:graphic>
          </wp:inline>
        </w:drawing>
      </w:r>
      <w:bookmarkEnd w:id="29"/>
    </w:p>
    <w:p>
      <w:pPr>
        <w:pStyle w:val="ImageCaption"/>
      </w:pPr>
      <w:r>
        <w:t xml:space="preserve">Imagen 1: Resultados y métricas del diagnóstico de madurez SOA. Todos los dominios.</w:t>
      </w:r>
    </w:p>
    <w:bookmarkEnd w:id="0"/>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reunidos por el gobierno SOA, objeto de este proyecto, que ameritan ser resaltados son las capacidades de negocio del FNA: Gestión de Tecnología para Negocio, y Gestión de Productos y Funcionalidades (ver imagen abajo). Estas son de importancia por su directa relación con los procesos PROC4 y PROC5, incluidos con anterioridad en el segmento de la empresa a trabajar, y porque además la gestión de tecnología y de productos del FNA dictan los procesos y los servicios SOA a ser observados a partir de esta etapa en el diseño del gobierno SOA del FNA. Estas mismas capacidades son bisagra de los procesos y servicios, los unen. La imagen siguiente demuestra esto último: la relación entre los procesos, servicios del segmento de la empresa del FNA relacionadas con las capacidades que el gobierno FNA busca impactar.</w:t>
      </w:r>
    </w:p>
    <w:bookmarkStart w:id="0" w:name="fig:68f9eccc-9f12-4769-8c50-7b368b2faa31"/>
    <w:p>
      <w:pPr>
        <w:pStyle w:val="CaptionedFigure"/>
      </w:pPr>
      <w:bookmarkStart w:id="33" w:name="fig:"/>
      <w:r>
        <w:drawing>
          <wp:inline>
            <wp:extent cx="5600700" cy="5701722"/>
            <wp:effectExtent b="0" l="0" r="0" t="0"/>
            <wp:docPr descr="Imagen 2: Capacidades de negocio FNA que el gobierno SOA del FNA, objeto de este proyecto, busca impactar." title="" id="31" name="Picture"/>
            <a:graphic>
              <a:graphicData uri="http://schemas.openxmlformats.org/drawingml/2006/picture">
                <pic:pic>
                  <pic:nvPicPr>
                    <pic:cNvPr descr="images/vistacapacidadesfna.jpg" id="32" name="Picture"/>
                    <pic:cNvPicPr>
                      <a:picLocks noChangeArrowheads="1" noChangeAspect="1"/>
                    </pic:cNvPicPr>
                  </pic:nvPicPr>
                  <pic:blipFill>
                    <a:blip r:embed="rId30"/>
                    <a:stretch>
                      <a:fillRect/>
                    </a:stretch>
                  </pic:blipFill>
                  <pic:spPr bwMode="auto">
                    <a:xfrm>
                      <a:off x="0" y="0"/>
                      <a:ext cx="5600700" cy="5701722"/>
                    </a:xfrm>
                    <a:prstGeom prst="rect">
                      <a:avLst/>
                    </a:prstGeom>
                    <a:noFill/>
                    <a:ln w="9525">
                      <a:noFill/>
                      <a:headEnd/>
                      <a:tailEnd/>
                    </a:ln>
                  </pic:spPr>
                </pic:pic>
              </a:graphicData>
            </a:graphic>
          </wp:inline>
        </w:drawing>
      </w:r>
      <w:bookmarkEnd w:id="33"/>
    </w:p>
    <w:p>
      <w:pPr>
        <w:pStyle w:val="ImageCaption"/>
      </w:pPr>
      <w:r>
        <w:t xml:space="preserve">Imagen 2: Capacidades de negocio FNA que el gobierno SOA del FNA, objeto de este proyecto, busca impactar.</w:t>
      </w:r>
    </w:p>
    <w:bookmarkEnd w:id="0"/>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0" Target="media/rId30.jpg"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2023-06-09T16:22:04Z</dcterms:created>
  <dcterms:modified xsi:type="dcterms:W3CDTF">2023-06-09T16:22:04Z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ies>
</file>