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1.4eec602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 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Dos elementos en particular ameritan mención adicional: las capacidades de negocio del FNA seleccionados como ítems impactados por el gobierno SOA, objeto de este proyecto, estas son, Gestión de Tecnología para Negocio, y Gestión de Productos y Funcionalidades (ver imagen abajo).</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 Imagen.</w:t>
        </w:r>
      </w:hyperlink>
      <w:r>
        <w:t xml:space="preserve"> </w:t>
      </w:r>
      <w:r>
        <w:t xml:space="preserve">Capacidades de negocio FNA relacionados con el gobierno SOA, objeto de este proyecto, del E-Service Fase II.</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2023-06-02T18:11:12Z</dcterms:created>
  <dcterms:modified xsi:type="dcterms:W3CDTF">2023-06-02T18:11:12Z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