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6.png" ContentType="image/png"/>
  <Override PartName="/word/media/rId3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Justificación Segmento Empresa FNA:</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1.5f0fd0d del 02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hyperlink r:id="rId21">
              <w:r>
                <w:rPr>
                  <w:rStyle w:val="Hipervnculo"/>
                </w:rPr>
                <w:t xml:space="preserve">Resultados y métricas del diagnóstico de madurez SOA</w:t>
              </w:r>
            </w:hyperlink>
          </w:p>
        </w:tc>
      </w:tr>
    </w:tbl>
    <w:p>
      <w:pPr>
        <w:pStyle w:val="Textoindependiente"/>
      </w:pPr>
    </w:p>
    <w:bookmarkStart w:id="33"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22"/>
      </w:r>
      <w:r>
        <w:t xml:space="preserve">, tal que implica una operación reactiva 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de mejorar la calidad de las soluciones de software que están detrás y soportan a los servicios de cliente final que la entidad presta,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9">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que como ítems impactados por el gobierno SOA, objeto de este proyecto,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p>
      <w:pPr>
        <w:pStyle w:val="Figure"/>
      </w:pPr>
      <w:r>
        <w:drawing>
          <wp:inline>
            <wp:extent cx="5600700" cy="5701722"/>
            <wp:effectExtent b="0" l="0" r="0" t="0"/>
            <wp:docPr descr="" title="" id="31" name="Picture"/>
            <a:graphic>
              <a:graphicData uri="http://schemas.openxmlformats.org/drawingml/2006/picture">
                <pic:pic>
                  <pic:nvPicPr>
                    <pic:cNvPr descr="images/vistacapacidadesfna.jpg" id="32" name="Picture"/>
                    <pic:cNvPicPr>
                      <a:picLocks noChangeArrowheads="1" noChangeAspect="1"/>
                    </pic:cNvPicPr>
                  </pic:nvPicPr>
                  <pic:blipFill>
                    <a:blip r:embed="rId30"/>
                    <a:stretch>
                      <a:fillRect/>
                    </a:stretch>
                  </pic:blipFill>
                  <pic:spPr bwMode="auto">
                    <a:xfrm>
                      <a:off x="0" y="0"/>
                      <a:ext cx="5600700" cy="5701722"/>
                    </a:xfrm>
                    <a:prstGeom prst="rect">
                      <a:avLst/>
                    </a:prstGeom>
                    <a:noFill/>
                    <a:ln w="9525">
                      <a:noFill/>
                      <a:headEnd/>
                      <a:tailEnd/>
                    </a:ln>
                  </pic:spPr>
                </pic:pic>
              </a:graphicData>
            </a:graphic>
          </wp:inline>
        </w:drawing>
      </w:r>
    </w:p>
    <w:p>
      <w:pPr>
        <w:pStyle w:val="FirstParagraph"/>
      </w:pPr>
      <w:hyperlink r:id="rId29">
        <w:r>
          <w:rPr>
            <w:rStyle w:val="Hipervnculo"/>
          </w:rPr>
          <w:t xml:space="preserve">Imagen.</w:t>
        </w:r>
      </w:hyperlink>
      <w:r>
        <w:t xml:space="preserve"> </w:t>
      </w:r>
      <w:r>
        <w:t xml:space="preserve">Capacidades de negocio FNA que el gobierno SOA del FNA, objeto de este proyecto, busca impactar.</w:t>
      </w:r>
    </w:p>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33"/>
    <w:bookmarkStart w:id="38"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34" w:name="diseño-de-servicios-y-soluciones-fna"/>
    <w:p>
      <w:pPr>
        <w:pStyle w:val="Ttulo3"/>
      </w:pPr>
      <w:r>
        <w:t xml:space="preserve">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w:t>
      </w:r>
      <w:r>
        <w:t xml:space="preserve"> </w:t>
      </w:r>
      <w:r>
        <w:rPr>
          <w:bCs/>
          <w:b/>
        </w:rPr>
        <w:t xml:space="preserve">MinTIC</w:t>
      </w:r>
      <w:r>
        <w:t xml:space="preserve">, el diseño de servicios y</w:t>
      </w:r>
      <w:r>
        <w:t xml:space="preserve"> </w:t>
      </w:r>
      <w:r>
        <w:t xml:space="preserve">soluciones, integra habilidades del FNA, orientadas principalmente a:</w:t>
      </w:r>
    </w:p>
    <w:p>
      <w:pPr>
        <w:numPr>
          <w:ilvl w:val="0"/>
          <w:numId w:val="1003"/>
        </w:numPr>
        <w:pStyle w:val="Compact"/>
      </w:pPr>
      <w:r>
        <w:t xml:space="preserve">Diseño con enfoque centrado en los usuarios, (ciudadanos)</w:t>
      </w:r>
    </w:p>
    <w:p>
      <w:pPr>
        <w:numPr>
          <w:ilvl w:val="0"/>
          <w:numId w:val="1003"/>
        </w:numPr>
        <w:pStyle w:val="Compact"/>
      </w:pPr>
      <w:r>
        <w:t xml:space="preserve">Solución de problemas complejos a través de la Innovación</w:t>
      </w:r>
    </w:p>
    <w:p>
      <w:pPr>
        <w:numPr>
          <w:ilvl w:val="0"/>
          <w:numId w:val="1003"/>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34"/>
    <w:bookmarkStart w:id="35" w:name="verificación-y-calidad-de-implementación"/>
    <w:p>
      <w:pPr>
        <w:pStyle w:val="Ttulo3"/>
      </w:pPr>
      <w:r>
        <w:t xml:space="preserve">Verificación y Calidad de Implementación</w:t>
      </w:r>
    </w:p>
    <w:p>
      <w:pPr>
        <w:pStyle w:val="FirstParagraph"/>
      </w:pPr>
      <w:r>
        <w:t xml:space="preserve">Este componente dentro de la vista de arquitectura de segmento, define el éxito del diseño de servicios y soluciones, debido a la consideración</w:t>
      </w:r>
      <w:r>
        <w:t xml:space="preserve"> </w:t>
      </w:r>
      <w:r>
        <w:t xml:space="preserve">de buenas prácticas, cumplimiento de normas y un adecuado gobierno en la etapa de diseño, hasta llegar a la implementación y puesta en funcionamiento.</w:t>
      </w:r>
    </w:p>
    <w:p>
      <w:pPr>
        <w:pStyle w:val="Textoindependiente"/>
      </w:pPr>
      <w:r>
        <w:t xml:space="preserve">La</w:t>
      </w:r>
      <w:r>
        <w:t xml:space="preserve"> </w:t>
      </w:r>
      <w:r>
        <w:rPr>
          <w:bCs/>
          <w:b/>
        </w:rPr>
        <w:t xml:space="preserve">Verificación y Calidad de Implementación</w:t>
      </w:r>
      <w:r>
        <w:t xml:space="preserve"> </w:t>
      </w:r>
      <w:r>
        <w:t xml:space="preserve">dentro de la arquitectura de segmento, asegura que el diseño tuvo una planificación adecuada, un</w:t>
      </w:r>
      <w:r>
        <w:t xml:space="preserve"> </w:t>
      </w:r>
      <w:r>
        <w:t xml:space="preserve">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w:t>
      </w:r>
      <w:r>
        <w:t xml:space="preserve"> </w:t>
      </w:r>
      <w:r>
        <w:t xml:space="preserve">uso y apropiación de la solución desplegada.</w:t>
      </w:r>
    </w:p>
    <w:p>
      <w:pPr>
        <w:pStyle w:val="Textoindependiente"/>
      </w:pPr>
      <w:r>
        <w:t xml:space="preserve">Lo anterior sugiere los niveles de actuación de un gobierno;</w:t>
      </w:r>
      <w:r>
        <w:t xml:space="preserve"> </w:t>
      </w:r>
      <w:r>
        <w:rPr>
          <w:bCs/>
          <w:b/>
        </w:rPr>
        <w:t xml:space="preserve">Gobierno SOA</w:t>
      </w:r>
    </w:p>
    <w:p>
      <w:pPr>
        <w:pStyle w:val="Textoindependiente"/>
      </w:pPr>
      <w:r>
        <w:t xml:space="preserve">Dentro del alcance de esta fase del proyecto, se contempla el diseño del Gobierno SOA, compuesto por elementos con</w:t>
      </w:r>
      <w:r>
        <w:t xml:space="preserve"> </w:t>
      </w:r>
      <w:r>
        <w:t xml:space="preserve">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w:t>
      </w:r>
    </w:p>
    <w:p>
      <w:pPr>
        <w:pStyle w:val="FirstParagraph"/>
      </w:pPr>
    </w:p>
    <w:bookmarkEnd w:id="35"/>
    <w:bookmarkStart w:id="36" w:name="desarrollo-de-arquitecturas-fna"/>
    <w:p>
      <w:pPr>
        <w:pStyle w:val="Ttulo3"/>
      </w:pPr>
      <w:r>
        <w:t xml:space="preserve">Desarrollo de Arquitecturas FNA</w:t>
      </w:r>
    </w:p>
    <w:p>
      <w:pPr>
        <w:pStyle w:val="FirstParagraph"/>
      </w:pPr>
      <w:r>
        <w:t xml:space="preserve">Dentro del dominio motivacional; una de las metas claves de la vista de segmento corresponde al desarrollo de arquitecturas, como</w:t>
      </w:r>
      <w:r>
        <w:t xml:space="preserve"> </w:t>
      </w:r>
      <w:r>
        <w:t xml:space="preserve">elementos rectores de gobierno de los procesos:</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pStyle w:val="Textoindependiente"/>
      </w:pPr>
      <w:r>
        <w:t xml:space="preserve">De acuerdo al Marco de Referencia de Arquitectura Empresarial -</w:t>
      </w:r>
      <w:r>
        <w:t xml:space="preserve"> </w:t>
      </w:r>
      <w:r>
        <w:rPr>
          <w:bCs/>
          <w:b/>
        </w:rPr>
        <w:t xml:space="preserve">MRAE</w:t>
      </w:r>
      <w:r>
        <w:t xml:space="preserve"> </w:t>
      </w:r>
      <w:r>
        <w:t xml:space="preserve">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6"/>
    <w:bookmarkStart w:id="37" w:name="gestión-de-arquitectura-fna"/>
    <w:p>
      <w:pPr>
        <w:pStyle w:val="Ttulo3"/>
      </w:pPr>
      <w:r>
        <w:t xml:space="preserve">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jpg" /><Relationship Type="http://schemas.openxmlformats.org/officeDocument/2006/relationships/hyperlink" Id="rId29"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9"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2023-06-02T22:55:43Z</dcterms:created>
  <dcterms:modified xsi:type="dcterms:W3CDTF">2023-06-02T22:55:43Z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