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1.a65af1a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22" w:name="X684aa5c3305e26e9ba2543f5ad1c22661424643"/>
    <w:p>
      <w:pPr>
        <w:pStyle w:val="Ttulo2"/>
      </w:pPr>
      <w:r>
        <w:t xml:space="preserve">Justificación de los Ítems de Arquitectura Impactados por el Proyecto</w:t>
      </w:r>
    </w:p>
    <w:p>
      <w:pPr>
        <w:pStyle w:val="FirstParagraph"/>
      </w:pPr>
      <w:r>
        <w:t xml:space="preserve">El esultado de los diagnósticos de E-Service, Fase I, específicamente de la evaluación de madurez de SOA del FNA, y los dominios ahí analizados de Negocio, Organización y Gobierno, Método, Aplicaciones, Arquitectura, Información e Infraestructura, ubica al FNA en un nivel de madurez</w:t>
      </w:r>
      <w:r>
        <w:t xml:space="preserve"> </w:t>
      </w:r>
      <w:r>
        <w:rPr>
          <w:iCs/>
          <w:i/>
        </w:rPr>
        <w:t xml:space="preserve">REACTIVO</w:t>
      </w:r>
      <w:r>
        <w:t xml:space="preserve">, asociado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antecedente, se hace necesario impactar los ítems de la empresa FNA relacionados con las causas indicadas en el diagnóstico de madurez del Fondo, en pro del gobieno SOA, objeto de este proyecto, y de mejorarla la calidad de las soluciones de software detrás de los servicios que la entidad presta, y en cumplimiento tanto de negocio (vicepresidencias de Crédito y vicepresidencia de Operaciones), así como también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En este sentido,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22"/>
    <w:bookmarkStart w:id="2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3"/>
    <w:bookmarkStart w:id="2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4"/>
    <w:bookmarkStart w:id="2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25"/>
    <w:bookmarkStart w:id="2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2023-06-02T16:38:58Z</dcterms:created>
  <dcterms:modified xsi:type="dcterms:W3CDTF">2023-06-02T16:38:58Z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