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456"/>
        <w:gridCol w:w="6463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Flujos Críticos de Trabajo FNA:</w:t>
            </w:r>
            <w:r>
              <w:t xml:space="preserve"> </w:t>
            </w:r>
            <w:r>
              <w:rPr>
                <w:bCs/>
                <w:b/>
              </w:rPr>
              <w:t xml:space="preserve">Elementos Susceptibles de Gobierno en el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Flujos críticos, Procesos,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Elaboración propia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1.94d0524 del 06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N001d. Ejecución Plan de Trabajo SOA</w:t>
              </w:r>
            </w:hyperlink>
            <w:hyperlink r:id="rId21">
              <w:r>
                <w:rPr>
                  <w:rStyle w:val="Hipervnculo"/>
                </w:rPr>
                <w:t xml:space="preserve">N003a. Procesos de Negocio FNA</w:t>
              </w:r>
            </w:hyperlink>
          </w:p>
        </w:tc>
      </w:tr>
    </w:tbl>
    <w:p>
      <w:pPr>
        <w:pStyle w:val="Textoindependiente"/>
      </w:pPr>
    </w:p>
    <w:bookmarkStart w:id="28" w:name="X1fdd0a35b227ad61fc07790ee356b5036d6a9a1"/>
    <w:p>
      <w:pPr>
        <w:pStyle w:val="Ttulo1"/>
      </w:pPr>
      <w:r>
        <w:t xml:space="preserve">Flujos Críticos Susceptibles de Gobierno FNA</w:t>
      </w:r>
    </w:p>
    <w:p>
      <w:pPr>
        <w:pStyle w:val="FirstParagraph"/>
      </w:pPr>
      <w:r>
        <w:t xml:space="preserve">Los flujos críticos proporcionan información dos tipos de información valiosa: la manera en que funcionan las cosas dentro del FNA, y qué las causas y debilidades de estas.</w:t>
      </w:r>
    </w:p>
    <w:p>
      <w:pPr>
        <w:pStyle w:val="Textoindependiente"/>
      </w:pPr>
    </w:p>
    <w:bookmarkStart w:id="22" w:name="X2f41d53f0866c39cc0fc210fff28f9fdf41f0d5"/>
    <w:p>
      <w:pPr>
        <w:pStyle w:val="Ttulo2"/>
      </w:pPr>
      <w:r>
        <w:t xml:space="preserve">Plantilla de Realización del Flujo Crítico</w:t>
      </w:r>
    </w:p>
    <w:p>
      <w:pPr>
        <w:pStyle w:val="FirstParagraph"/>
      </w:pPr>
      <w:r>
        <w:t xml:space="preserve">Para facilitar la recolección de los flujos críticos, presentamos la siguiente plantilla personalizada para el FNA.</w:t>
      </w:r>
    </w:p>
    <w:p>
      <w:pPr>
        <w:numPr>
          <w:ilvl w:val="0"/>
          <w:numId w:val="1001"/>
        </w:numPr>
        <w:pStyle w:val="Compact"/>
      </w:pPr>
      <w:r>
        <w:t xml:space="preserve">Encabezado: describir el dueño del flujo.</w:t>
      </w:r>
    </w:p>
    <w:p>
      <w:pPr>
        <w:numPr>
          <w:ilvl w:val="0"/>
          <w:numId w:val="1001"/>
        </w:numPr>
        <w:pStyle w:val="Compact"/>
      </w:pPr>
      <w:r>
        <w:t xml:space="preserve">Atención: cómo o dónde inicia el flujo.</w:t>
      </w:r>
    </w:p>
    <w:p>
      <w:pPr>
        <w:numPr>
          <w:ilvl w:val="0"/>
          <w:numId w:val="1001"/>
        </w:numPr>
        <w:pStyle w:val="Compact"/>
      </w:pPr>
      <w:r>
        <w:t xml:space="preserve">Petición: registro de la petición.</w:t>
      </w:r>
    </w:p>
    <w:p>
      <w:pPr>
        <w:numPr>
          <w:ilvl w:val="0"/>
          <w:numId w:val="1001"/>
        </w:numPr>
        <w:pStyle w:val="Compact"/>
      </w:pPr>
      <w:r>
        <w:t xml:space="preserve">Arquitectura: pasos del flujo en los que participa el arquitecto.</w:t>
      </w:r>
    </w:p>
    <w:p>
      <w:pPr>
        <w:numPr>
          <w:ilvl w:val="0"/>
          <w:numId w:val="1001"/>
        </w:numPr>
        <w:pStyle w:val="Compact"/>
      </w:pPr>
      <w:r>
        <w:t xml:space="preserve">Valor: valor que este flujo genera para el FNA.</w:t>
      </w:r>
    </w:p>
    <w:p>
      <w:pPr>
        <w:numPr>
          <w:ilvl w:val="0"/>
          <w:numId w:val="1001"/>
        </w:numPr>
        <w:pStyle w:val="Compact"/>
      </w:pPr>
      <w:r>
        <w:t xml:space="preserve">Seguimiento: validación de la generación de valor.</w:t>
      </w:r>
    </w:p>
    <w:p>
      <w:pPr>
        <w:numPr>
          <w:ilvl w:val="0"/>
          <w:numId w:val="1001"/>
        </w:numPr>
        <w:pStyle w:val="Compact"/>
      </w:pPr>
      <w:r>
        <w:t xml:space="preserve">Entrega: entregado del resultado del flujo.</w:t>
      </w:r>
    </w:p>
    <w:p>
      <w:pPr>
        <w:numPr>
          <w:ilvl w:val="0"/>
          <w:numId w:val="1001"/>
        </w:numPr>
        <w:pStyle w:val="Compact"/>
      </w:pPr>
      <w:r>
        <w:t xml:space="preserve">Repetición: consideaciones de mejora.</w:t>
      </w:r>
    </w:p>
    <w:p>
      <w:pPr>
        <w:pStyle w:val="FirstParagraph"/>
      </w:pPr>
      <w:r>
        <w:rPr>
          <w:bCs/>
          <w:b/>
        </w:rPr>
        <w:t xml:space="preserve">Nota</w:t>
      </w:r>
      <w:r>
        <w:t xml:space="preserve">: para más información del uso y apropiación de la herramienta Flujo Crítifo de Trabajo, ver el anexo</w:t>
      </w:r>
      <w:r>
        <w:t xml:space="preserve"> </w:t>
      </w:r>
      <w:r>
        <w:rPr>
          <w:iCs/>
          <w:i/>
        </w:rPr>
        <w:t xml:space="preserve">CCF</w:t>
      </w:r>
      <w:r>
        <w:t xml:space="preserve">, más adelante.</w:t>
      </w:r>
    </w:p>
    <w:p>
      <w:pPr>
        <w:pStyle w:val="Textoindependiente"/>
      </w:pPr>
    </w:p>
    <w:bookmarkEnd w:id="22"/>
    <w:bookmarkStart w:id="27" w:name="análisis-de-los-flujos-de-trabajo"/>
    <w:p>
      <w:pPr>
        <w:pStyle w:val="Ttulo2"/>
      </w:pPr>
      <w:r>
        <w:t xml:space="preserve">Análisis de los Flujos de Trabajo</w:t>
      </w:r>
    </w:p>
    <w:p>
      <w:pPr>
        <w:pStyle w:val="FirstParagraph"/>
      </w:pPr>
      <w:r>
        <w:t xml:space="preserve">Los flujos serán analizados desde tres perspectivas ilustradas a continuación.</w:t>
      </w:r>
    </w:p>
    <w:bookmarkStart w:id="0" w:name="fig:cc51b0d6-076c-40a8-8951-b8cd13f7548b"/>
    <w:p>
      <w:pPr>
        <w:pStyle w:val="CaptionedFigure"/>
      </w:pPr>
      <w:bookmarkStart w:id="26" w:name="fig:"/>
      <w:r>
        <w:drawing>
          <wp:inline>
            <wp:extent cx="5600700" cy="2207542"/>
            <wp:effectExtent b="0" l="0" r="0" t="0"/>
            <wp:docPr descr="Figure 1: Análisis de los flujos desde los pasos, las personas y la arquitectura FNA" title="" id="24" name="Picture"/>
            <a:graphic>
              <a:graphicData uri="http://schemas.openxmlformats.org/drawingml/2006/picture">
                <pic:pic>
                  <pic:nvPicPr>
                    <pic:cNvPr descr="images/definirgobierno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2075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Análisis de los flujos desde los pasos, las personas y la arquitectura FNA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png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%20Procesos%20de%20Negocio%20FNA&amp;sectio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%20Procesos%20de%20Negocio%20FNA&amp;section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2023-06-06T18:14:33Z</dcterms:created>
  <dcterms:modified xsi:type="dcterms:W3CDTF">2023-06-06T18:14:33Z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