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0"/>
    <w:bookmarkStart w:id="21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paso 1 cobis envia un ID al operador biometrico</w:t>
      </w:r>
    </w:p>
    <w:p>
      <w:pPr>
        <w:numPr>
          <w:ilvl w:val="0"/>
          <w:numId w:val="1001"/>
        </w:numPr>
        <w:pStyle w:val="Compact"/>
      </w:pPr>
      <w:r>
        <w:t xml:space="preserve">paso 2 el operador biometrico responde el ID</w:t>
      </w:r>
    </w:p>
    <w:p>
      <w:pPr>
        <w:numPr>
          <w:ilvl w:val="0"/>
          <w:numId w:val="1001"/>
        </w:numPr>
        <w:pStyle w:val="Compact"/>
      </w:pPr>
      <w:r>
        <w:t xml:space="preserve">paso 3 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paso 4 El aplicativo core envía la petición de biometria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con un hit o no hit (hit que quiere decir que la persona es quien dice ser, no hit no es quien dice ser)</w:t>
      </w:r>
    </w:p>
    <w:p>
      <w:pPr>
        <w:pStyle w:val="FirstParagraph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1"/>
    <w:bookmarkStart w:id="22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2"/>
    <w:bookmarkStart w:id="23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3"/>
    <w:bookmarkStart w:id="24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4"/>
    <w:bookmarkStart w:id="25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Implementar un buen diseño en la aplicacion y malla de calidad en la pruebas</w:t>
      </w:r>
    </w:p>
    <w:bookmarkEnd w:id="25"/>
    <w:bookmarkStart w:id="30" w:name="anexo.-diagrama-del-flujo"/>
    <w:p>
      <w:pPr>
        <w:pStyle w:val="Ttulo3"/>
      </w:pPr>
      <w:r>
        <w:t xml:space="preserve">Anexo. Diagrama del flujo</w:t>
      </w:r>
    </w:p>
    <w:p>
      <w:pPr>
        <w:pStyle w:val="Figure"/>
      </w:pPr>
      <w:r>
        <w:drawing>
          <wp:inline>
            <wp:extent cx="5600700" cy="2725436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flujoBiometriafna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9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Flujo de trabajo crítico para el análisis de las fortalezas, debilidades, y otras consideraciones de gobierno SOA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jpg" /><Relationship Type="http://schemas.openxmlformats.org/officeDocument/2006/relationships/hyperlink" Id="rId29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2023-06-04T21:00:42Z</dcterms:created>
  <dcterms:modified xsi:type="dcterms:W3CDTF">2023-06-04T21:00:42Z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