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4df3d730fb24baf3daa09e953c9b0236586da5d"/>
    <w:p>
      <w:pPr>
        <w:pStyle w:val="Ttulo2"/>
      </w:pPr>
      <w:r>
        <w:t xml:space="preserve">CCF. Flujo Crítico Trabajo: 01. Biometría FNA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El aplicativo core envía la petición de biometria - 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excepcion de los casos de uso, exhaustividad de las pruebas, la confiabilidad de las pruebas, Malla de calidad de las pruebas, fortalecimiento de diseño, categoria: Alta</w:t>
      </w:r>
      <w:r>
        <w:t xml:space="preserve"> </w:t>
      </w:r>
      <w:r>
        <w:t xml:space="preserve">caso de uso: excepciones.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crítico, aprobación de censatía con biometría FNA,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2023-06-05T01:41:44Z</dcterms:created>
  <dcterms:modified xsi:type="dcterms:W3CDTF">2023-06-05T01:41:44Z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