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Biometría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cesantías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biometría son entregados por el operador biométrico a través de correo electrónico al usuario líder del área.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envía un ID al operador biométrico</w:t>
      </w:r>
    </w:p>
    <w:p>
      <w:pPr>
        <w:numPr>
          <w:ilvl w:val="0"/>
          <w:numId w:val="1001"/>
        </w:numPr>
        <w:pStyle w:val="Compact"/>
      </w:pPr>
      <w:r>
        <w:t xml:space="preserve">El operador biométrico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biometría</w:t>
      </w:r>
    </w:p>
    <w:p>
      <w:pPr>
        <w:numPr>
          <w:ilvl w:val="0"/>
          <w:numId w:val="1001"/>
        </w:numPr>
        <w:pStyle w:val="Compact"/>
      </w:pPr>
      <w:r>
        <w:t xml:space="preserve">El operador biométrico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cesantías.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implementación de herramientas de gobierno que permitan el fortalecimiento en el diseño para la aplicación.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aplicación y malla de calidad en las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d98489db-7ad3-4d39-987c-1012a1bd9974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san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cesantía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2023-07-21T17:43:23Z</dcterms:created>
  <dcterms:modified xsi:type="dcterms:W3CDTF">2023-07-21T17:43:23Z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