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bookmarkStart w:id="24"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CF01, Aprobación de cesantías del FNA encontradas desde la perspectiva de gobierno SOA y de las arquitecturas del FNA.</w:t>
      </w:r>
    </w:p>
    <w:p>
      <w:pPr>
        <w:pStyle w:val="Textoindependiente"/>
      </w:pPr>
      <w:r>
        <w:t xml:space="preserve">Características insumo de gobierno del flujo de aprobación de cesantía del FNA.</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pStyle w:val="FirstParagraph"/>
      </w:pPr>
    </w:p>
    <w:bookmarkStart w:id="20"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contempla la cantidad de escenarios, caminos alternos, y excepciones que le den al caso el nivel de exhaustividad que la complejidad de la aprobación que las cesantías demandan.</w:t>
      </w:r>
    </w:p>
    <w:bookmarkEnd w:id="20"/>
    <w:bookmarkStart w:id="21"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las coincidencias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solicitante y la del autenticador, para luego facilitarle al primero la conciliación de las transacciones solicitud-aprobación.</w:t>
      </w:r>
    </w:p>
    <w:bookmarkEnd w:id="21"/>
    <w:bookmarkStart w:id="23" w:name="asignación-de-arquitectura"/>
    <w:p>
      <w:pPr>
        <w:pStyle w:val="Ttulo3"/>
      </w:pPr>
      <w:r>
        <w:t xml:space="preserve">Asignación de Arquitectura</w:t>
      </w:r>
    </w:p>
    <w:p>
      <w:pPr>
        <w:pStyle w:val="FirstParagraph"/>
      </w:pPr>
      <w:r>
        <w:t xml:space="preserve">En la siguiente tabla realizaremos las asignaciones de las actividades/responsabilidades con las partes de la arquitectura del FNA que son relevantes para el gobierno.</w:t>
      </w:r>
    </w:p>
    <w:bookmarkStart w:id="0" w:name="tbl:1"/>
    <w:bookmarkStart w:id="22" w:name="tbl:1"/>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bookmarkEnd w:id="22"/>
    <w:bookmarkEnd w:id="0"/>
    <w:p>
      <w:pPr>
        <w:pStyle w:val="Textoindependiente"/>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2023-07-21T17:43:22Z</dcterms:created>
  <dcterms:modified xsi:type="dcterms:W3CDTF">2023-07-21T17:43:22Z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