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4"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CF01, Aprobación de cesantías del FNA encontradas desde la perspectiva de gobierno SOA y de las arquitecturas del FNA.</w:t>
      </w:r>
    </w:p>
    <w:p>
      <w:pPr>
        <w:pStyle w:val="Textoindependiente"/>
      </w:pPr>
      <w:r>
        <w:t xml:space="preserve">Características insumo de gobierno del flujo de aprobación de cesantía del FNA.</w:t>
      </w:r>
    </w:p>
    <w:p>
      <w:pPr>
        <w:numPr>
          <w:ilvl w:val="0"/>
          <w:numId w:val="1001"/>
        </w:numPr>
        <w:pStyle w:val="Compact"/>
      </w:pPr>
      <w:r>
        <w:t xml:space="preserve">Debilidad en la completitud de los CU</w:t>
      </w:r>
    </w:p>
    <w:p>
      <w:pPr>
        <w:numPr>
          <w:ilvl w:val="0"/>
          <w:numId w:val="1001"/>
        </w:numPr>
        <w:pStyle w:val="Compact"/>
      </w:pPr>
      <w:r>
        <w:t xml:space="preserve">Herramientas y métodos de QA relacionados con sistemas distribuidos y QA​</w:t>
      </w:r>
    </w:p>
    <w:p>
      <w:pPr>
        <w:numPr>
          <w:ilvl w:val="0"/>
          <w:numId w:val="1001"/>
        </w:numPr>
        <w:pStyle w:val="Compact"/>
      </w:pPr>
      <w:r>
        <w:t xml:space="preserve">Normalización y fortalecimiento de los ambientes QA ​</w:t>
      </w:r>
    </w:p>
    <w:p>
      <w:pPr>
        <w:numPr>
          <w:ilvl w:val="0"/>
          <w:numId w:val="1001"/>
        </w:numPr>
        <w:pStyle w:val="Compact"/>
      </w:pPr>
      <w:r>
        <w:t xml:space="preserve">Gestión del diseño y arquitecturas: categorización de complejidad​</w:t>
      </w:r>
    </w:p>
    <w:p>
      <w:pPr>
        <w:numPr>
          <w:ilvl w:val="0"/>
          <w:numId w:val="1001"/>
        </w:numPr>
        <w:pStyle w:val="Compact"/>
      </w:pPr>
      <w:r>
        <w:t xml:space="preserve">Correspondencia complejidad - diseño</w:t>
      </w:r>
    </w:p>
    <w:p>
      <w:pPr>
        <w:pStyle w:val="FirstParagraph"/>
      </w:pP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3"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bookmarkStart w:id="0" w:name="tbl:1"/>
    <w:bookmarkStart w:id="22" w:name="tbl:1"/>
    <w:p>
      <w:pPr>
        <w:pStyle w:val="TableCaption"/>
      </w:pPr>
      <w:r>
        <w:t xml:space="preserve">Tabla 1: Tabla de asignación del flujo 01, Aprobación de Cesantías FNA.</w:t>
      </w:r>
      <w:r>
        <w:t xml:space="preserve"> </w:t>
      </w:r>
    </w:p>
    <w:tbl>
      <w:tblPr>
        <w:tblStyle w:val="Table"/>
        <w:tblW w:type="pct" w:w="5000"/>
        <w:tblLook w:firstRow="1" w:lastRow="0" w:firstColumn="0" w:lastColumn="0" w:noHBand="0" w:noVBand="0" w:val="0020"/>
        <w:tblCaption w:val="Tabla 1: Tabla de asignación del flujo 01, Aprobación de Cesantías FNA. "/>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bookmarkEnd w:id="22"/>
    <w:bookmarkEnd w:id="0"/>
    <w:p>
      <w:pPr>
        <w:pStyle w:val="Textoindependiente"/>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2023-07-21T16:12:39Z</dcterms:created>
  <dcterms:modified xsi:type="dcterms:W3CDTF">2023-07-21T16:12:39Z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