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4"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CF01, Aprobación de cesantías del FNA encontradas desde la perspectiva de gobierno SOA y de las arquitecturas del FNA.</w:t>
      </w:r>
    </w:p>
    <w:p>
      <w:pPr>
        <w:pStyle w:val="Textoindependiente"/>
      </w:pPr>
      <w:r>
        <w:t xml:space="preserve">Características insumo de gobierno del flujo de aprobación de cesantía del FNA.</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pStyle w:val="FirstParagraph"/>
      </w:pPr>
    </w:p>
    <w:bookmarkStart w:id="20"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bookmarkEnd w:id="20"/>
    <w:bookmarkStart w:id="21"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21"/>
    <w:bookmarkStart w:id="23"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bookmarkStart w:id="0" w:name="tbl:1"/>
    <w:bookmarkStart w:id="22"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22"/>
    <w:bookmarkEnd w:id="0"/>
    <w:p>
      <w:pPr>
        <w:pStyle w:val="Textoindependiente"/>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2023-07-21T17:09:30Z</dcterms:created>
  <dcterms:modified xsi:type="dcterms:W3CDTF">2023-07-21T17:09:30Z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