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producción FNA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día a día</w:t>
      </w:r>
    </w:p>
    <w:p>
      <w:pPr>
        <w:numPr>
          <w:ilvl w:val="0"/>
          <w:numId w:val="1001"/>
        </w:numPr>
        <w:pStyle w:val="Compact"/>
      </w:pPr>
      <w:r>
        <w:t xml:space="preserve">Cada fábrica tiene dos grupos: uno de soporte y mantenimiento para gestión de incidencias, y otro para desarollo y nuevas funcionalidades</w:t>
      </w:r>
      <w:r>
        <w:t xml:space="preserve"> </w:t>
      </w:r>
      <w:r>
        <w:t xml:space="preserve"> 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  <w:r>
        <w:t xml:space="preserve"> </w:t>
      </w:r>
      <w:r>
        <w:t xml:space="preserve"> 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2023-06-06T19:47:38Z</dcterms:created>
  <dcterms:modified xsi:type="dcterms:W3CDTF">2023-06-06T19:47:38Z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