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Xe049a04525558b451f1ce078de1ef1f46673f2f"/>
    <w:p>
      <w:pPr>
        <w:pStyle w:val="Ttulo2"/>
      </w:pPr>
      <w:r>
        <w:t xml:space="preserve">CCF. Flujo Crítico Trabajo: 02. Inversión TI FNA (proveedores)</w:t>
      </w:r>
    </w:p>
    <w:p>
      <w:pPr>
        <w:pStyle w:val="FirstParagraph"/>
      </w:pPr>
      <w:r>
        <w:t xml:space="preserve">Uno de los objetivos del Gobierno SOA es la evaluación de la inversión de TI del FNA. Se incluyen los riesgos técnicos de las inversiones (implementaciones) de TI.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una forma de evaluar las inversiones de TI es mediante el parámetro de efectividad de las inversiones, entendido como la relación de la utilidad percibida, que puede cuantitativa o no, y los costos y esfuerzos en los que incurrió.</w:t>
      </w:r>
    </w:p>
    <w:p>
      <w:pPr>
        <w:pStyle w:val="Textoindependiente"/>
      </w:pP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CCF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Cliente destino: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Gerencia de Tecnología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Producto/Servicio: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Inversión TI</w:t>
            </w:r>
          </w:p>
        </w:tc>
      </w:tr>
    </w:tbl>
    <w:p>
      <w:pPr>
        <w:pStyle w:val="Textoindependiente"/>
      </w:pPr>
    </w:p>
    <w:bookmarkStart w:id="20" w:name="atención"/>
    <w:p>
      <w:pPr>
        <w:pStyle w:val="Ttulo3"/>
      </w:pPr>
      <w:r>
        <w:t xml:space="preserve">Atención</w:t>
      </w:r>
    </w:p>
    <w:p>
      <w:pPr>
        <w:pStyle w:val="FirstParagraph"/>
      </w:pPr>
      <w:r>
        <w:t xml:space="preserve">Estudios internos o consultorías sirve de justificación para la planeación de una posible inversión de TI.</w:t>
      </w:r>
    </w:p>
    <w:bookmarkEnd w:id="20"/>
    <w:bookmarkStart w:id="21" w:name="petición"/>
    <w:p>
      <w:pPr>
        <w:pStyle w:val="Ttulo3"/>
      </w:pPr>
      <w:r>
        <w:t xml:space="preserve">Petición</w:t>
      </w:r>
    </w:p>
    <w:p>
      <w:pPr>
        <w:pStyle w:val="FirstParagraph"/>
      </w:pPr>
      <w:r>
        <w:t xml:space="preserve">Diligencia el formato de la necesidad al grupo de contratación, y radicar la solicitud a contratación. Registro en SECOP(2) el proceso público y finalmente queda la minuta del contrato.</w:t>
      </w:r>
    </w:p>
    <w:bookmarkEnd w:id="21"/>
    <w:bookmarkStart w:id="22" w:name="arquitectura"/>
    <w:p>
      <w:pPr>
        <w:pStyle w:val="Ttulo3"/>
      </w:pPr>
      <w:r>
        <w:t xml:space="preserve">Arquitectura</w:t>
      </w:r>
    </w:p>
    <w:p>
      <w:pPr>
        <w:numPr>
          <w:ilvl w:val="0"/>
          <w:numId w:val="1001"/>
        </w:numPr>
        <w:pStyle w:val="Compact"/>
      </w:pPr>
      <w:r>
        <w:t xml:space="preserve">Implementa la solución en producción FNA</w:t>
      </w:r>
    </w:p>
    <w:p>
      <w:pPr>
        <w:numPr>
          <w:ilvl w:val="0"/>
          <w:numId w:val="1001"/>
        </w:numPr>
        <w:pStyle w:val="Compact"/>
      </w:pPr>
      <w:r>
        <w:t xml:space="preserve">Entrega la operación al grupo de soporte para gestión del día a día</w:t>
      </w:r>
    </w:p>
    <w:p>
      <w:pPr>
        <w:numPr>
          <w:ilvl w:val="0"/>
          <w:numId w:val="1001"/>
        </w:numPr>
        <w:pStyle w:val="Compact"/>
      </w:pPr>
      <w:r>
        <w:t xml:space="preserve">Cada fábrica tiene dos grupos: uno de soporte y mantenimiento para gestión de incidencias, y otro para desarrollo y nuevas funcionalidades</w:t>
      </w:r>
      <w:r>
        <w:t xml:space="preserve"> </w:t>
      </w:r>
      <w:r>
        <w:t xml:space="preserve"> </w:t>
      </w:r>
    </w:p>
    <w:p>
      <w:pPr>
        <w:pStyle w:val="FirstParagraph"/>
      </w:pPr>
      <w:r>
        <w:rPr>
          <w:bCs/>
          <w:b/>
        </w:rPr>
        <w:t xml:space="preserve">Notas</w:t>
      </w:r>
      <w:r>
        <w:t xml:space="preserve">: Procedimiento evaluación de inversión, Cálculo eficacia de inversión, Confiabilidad de las entregas de proveedores, Responsables gestión de la inversión.</w:t>
      </w:r>
      <w:r>
        <w:t xml:space="preserve"> </w:t>
      </w:r>
      <w:r>
        <w:t xml:space="preserve"> </w:t>
      </w:r>
    </w:p>
    <w:bookmarkEnd w:id="22"/>
    <w:bookmarkStart w:id="23" w:name="valor"/>
    <w:p>
      <w:pPr>
        <w:pStyle w:val="Ttulo3"/>
      </w:pPr>
      <w:r>
        <w:t xml:space="preserve">Valor</w:t>
      </w:r>
    </w:p>
    <w:p>
      <w:pPr>
        <w:pStyle w:val="FirstParagraph"/>
      </w:pPr>
      <w:r>
        <w:t xml:space="preserve">No determinado. Al momento de la realización de este flujo no encontramos el procedimiento o instrumento, o persona que calcula del valor retornado de la inversión de TI al FNA.</w:t>
      </w:r>
    </w:p>
    <w:bookmarkEnd w:id="23"/>
    <w:bookmarkStart w:id="24" w:name="seguimiento"/>
    <w:p>
      <w:pPr>
        <w:pStyle w:val="Ttulo3"/>
      </w:pPr>
      <w:r>
        <w:t xml:space="preserve">Seguimiento</w:t>
      </w:r>
    </w:p>
    <w:p>
      <w:pPr>
        <w:pStyle w:val="FirstParagraph"/>
      </w:pPr>
      <w:r>
        <w:t xml:space="preserve">No determinado. Al momento de la realización de este flujo no encontramos el procedimiento o instrumento, o persona que calcula del valor retornado de la inversión de TI al FNA.</w:t>
      </w:r>
    </w:p>
    <w:bookmarkEnd w:id="24"/>
    <w:bookmarkStart w:id="25" w:name="entrega"/>
    <w:p>
      <w:pPr>
        <w:pStyle w:val="Ttulo3"/>
      </w:pPr>
      <w:r>
        <w:t xml:space="preserve">Entrega</w:t>
      </w:r>
    </w:p>
    <w:p>
      <w:pPr>
        <w:pStyle w:val="FirstParagraph"/>
      </w:pPr>
      <w:r>
        <w:t xml:space="preserve">Una vez realizada la implementa de la inversión TI, la solución en producción es entregada en operación al grupo de soporte del FNA.</w:t>
      </w:r>
    </w:p>
    <w:bookmarkEnd w:id="25"/>
    <w:bookmarkStart w:id="26" w:name="repetición"/>
    <w:p>
      <w:pPr>
        <w:pStyle w:val="Ttulo3"/>
      </w:pPr>
      <w:r>
        <w:t xml:space="preserve">Repetición</w:t>
      </w:r>
    </w:p>
    <w:p>
      <w:pPr>
        <w:pStyle w:val="FirstParagraph"/>
      </w:pPr>
      <w:r>
        <w:t xml:space="preserve">El flujo es repetible en virtud de la Ley 80.</w:t>
      </w:r>
    </w:p>
    <w:bookmarkEnd w:id="26"/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2023-07-21T21:52:45Z</dcterms:created>
  <dcterms:modified xsi:type="dcterms:W3CDTF">2023-07-21T21:52:45Z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