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bookmarkStart w:id="20" w:name="análisis-ccf02-inversión-ti"/>
    <w:p>
      <w:pPr>
        <w:pStyle w:val="Ttulo2"/>
      </w:pPr>
      <w:r>
        <w:t xml:space="preserve">Análisis CCF02 Inversión TI</w:t>
      </w:r>
    </w:p>
    <w:p>
      <w:pPr>
        <w:pStyle w:val="FirstParagraph"/>
      </w:pPr>
      <w:r>
        <w:rPr>
          <w:bCs/>
          <w:b/>
        </w:rPr>
        <w:t xml:space="preserve">Notas</w:t>
      </w:r>
      <w:r>
        <w:t xml:space="preserve">: Procedimiento evaluación de inversión, Cálculo eficacia de inversión, Confiabilidad de las entregas de proveedores, Responsables gestión de la inversión.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2023-06-06T18:23:05Z</dcterms:created>
  <dcterms:modified xsi:type="dcterms:W3CDTF">2023-06-06T18:23:05Z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</Properties>
</file>