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pict>
          <v:rect style="width:0;height:1.5pt" o:hralign="center" o:hrstd="t" o:hr="t"/>
        </w:pict>
      </w:r>
    </w:p>
    <w:bookmarkStart w:id="25" w:name="anexos-del-producto-1-pr01"/>
    <w:p>
      <w:pPr>
        <w:pStyle w:val="Ttulo1"/>
      </w:pPr>
      <w:r>
        <w:t xml:space="preserve">Anexos del Producto 1 (PR01)</w:t>
      </w:r>
    </w:p>
    <w:bookmarkStart w:id="24" w:name="vista-de-segmento-del-proyecto"/>
    <w:p>
      <w:pPr>
        <w:pStyle w:val="Ttulo2"/>
      </w:pPr>
      <w:r>
        <w:t xml:space="preserve">1. Vista de Segmento del Proyecto</w:t>
      </w:r>
    </w:p>
    <w:p>
      <w:pPr>
        <w:pStyle w:val="Figure"/>
      </w:pPr>
      <w:r>
        <w:drawing>
          <wp:inline>
            <wp:extent cx="5600700" cy="6506407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segmentoFNAfaseII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65064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 1.</w:t>
        </w:r>
      </w:hyperlink>
      <w:r>
        <w:t xml:space="preserve"> </w:t>
      </w:r>
      <w:r>
        <w:t xml:space="preserve">Los ítems de la arquitectura del FNA objeto del trabajo de la Fase II de E-Service, 2023.</w:t>
      </w:r>
    </w:p>
    <w:p>
      <w:pPr>
        <w:pStyle w:val="Textoindependiente"/>
      </w:pPr>
      <w:r>
        <w:rPr>
          <w:iCs/>
          <w:i/>
        </w:rPr>
        <w:t xml:space="preserve">Fuente: Diagnóstico SOA. E-Service (2022)</w:t>
      </w:r>
    </w:p>
    <w:p>
      <w:pPr>
        <w:pStyle w:val="Textoindependiente"/>
      </w:pPr>
    </w:p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jpg" /><Relationship Type="http://schemas.openxmlformats.org/officeDocument/2006/relationships/hyperlink" Id="rId23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2023-06-29T20:13:35Z</dcterms:created>
  <dcterms:modified xsi:type="dcterms:W3CDTF">2023-06-29T20:13:35Z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