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5" w:name="anexos-del-producto-1-pr01"/>
    <w:p>
      <w:pPr>
        <w:pStyle w:val="Ttulo1"/>
      </w:pPr>
      <w:r>
        <w:t xml:space="preserve">Anexos del Producto 1 (PR01)</w:t>
      </w:r>
    </w:p>
    <w:bookmarkStart w:id="24" w:name="vista-de-segmento-del-proyecto"/>
    <w:p>
      <w:pPr>
        <w:pStyle w:val="Ttulo2"/>
      </w:pPr>
      <w:r>
        <w:t xml:space="preserve">1. Vista de Segmento del Proyecto</w:t>
      </w:r>
    </w:p>
    <w:p>
      <w:pPr>
        <w:pStyle w:val="Figure"/>
      </w:pPr>
      <w:r>
        <w:drawing>
          <wp:inline>
            <wp:extent cx="5600700" cy="650640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segmentoFNAfaseII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506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Los ítems de la arquitectura del FNA objeto del trabajo de la Fase II de E-Service, 2023.</w:t>
      </w:r>
    </w:p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2023-06-04T15:34:26Z</dcterms:created>
  <dcterms:modified xsi:type="dcterms:W3CDTF">2023-06-04T15:34:26Z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