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8eadbdaa3874e1119fd9d7aa58b68aad5402bf4"/>
    <w:p>
      <w:pPr>
        <w:pStyle w:val="Ttulo2"/>
      </w:pPr>
      <w:r>
        <w:t xml:space="preserve">2. Servicios SOA del FNA Vista de Segmento del Proyecto</w:t>
      </w:r>
    </w:p>
    <w:p>
      <w:pPr>
        <w:pStyle w:val="FirstParagraph"/>
      </w:pPr>
      <w:r>
        <w:t xml:space="preserve">Por lo anterior, los servicios SOA del FNA más relevantes según los modelos son los indicados a continuación. De igual manera que para el Fondo, estas partes de la empresa son importantes para futuros diagnósticos y gobierno SOA.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11"/>
        <w:gridCol w:w="3033"/>
        <w:gridCol w:w="227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Capacidades FNA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Parte Relacionada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Desarrollo de nuevos negocios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Entrega de Productos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 de Cuentas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2023-06-23T21:53:47Z</dcterms:created>
  <dcterms:modified xsi:type="dcterms:W3CDTF">2023-06-23T21:53:47Z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