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Por lo anterior, los servicios SOA del FNA más relevantes según los modelos son los indicados a continuación. De igual manera que para el Fondo, estas partes de la empresa son importantes para futuros diagnósticos y gobierno SOA.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611"/>
        <w:gridCol w:w="3033"/>
        <w:gridCol w:w="227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Parte FNA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Parte Relacionada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Tipo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Desarrollo de nuevos negocios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Entrega de Productos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de Cliente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Servicios de Cuentas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</w:tbl>
    <w:p>
      <w:pPr>
        <w:pStyle w:val="Textoindependiente"/>
      </w:pPr>
      <w:r>
        <w:rPr>
          <w:iCs/>
          <w:i/>
        </w:rPr>
        <w:t xml:space="preserve">Fuente: Diagnóstico SOA. E-Service (2022)</w:t>
      </w:r>
    </w:p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2023-05-31T21:41:21Z</dcterms:created>
  <dcterms:modified xsi:type="dcterms:W3CDTF">2023-05-31T21:41:21Z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