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herramienta-ccf"/>
    <w:p>
      <w:pPr>
        <w:pStyle w:val="Ttulo2"/>
      </w:pPr>
      <w:r>
        <w:t xml:space="preserve">4. Herramienta CCF</w:t>
      </w:r>
    </w:p>
    <w:p>
      <w:pPr>
        <w:pStyle w:val="FirstParagraph"/>
      </w:pPr>
      <w:r>
        <w:t xml:space="preserve">Herramienta para la creación de un flujo crítico de trabajo. Estos flujos son usados para el procedo de diseño de gobierno SOA del FNA.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</w:p>
    <w:p>
      <w:pPr>
        <w:numPr>
          <w:ilvl w:val="0"/>
          <w:numId w:val="1001"/>
        </w:numPr>
        <w:pStyle w:val="Compact"/>
      </w:pPr>
      <w:r>
        <w:t xml:space="preserve">paso 1</w:t>
      </w:r>
    </w:p>
    <w:p>
      <w:pPr>
        <w:numPr>
          <w:ilvl w:val="0"/>
          <w:numId w:val="1001"/>
        </w:numPr>
        <w:pStyle w:val="Compact"/>
      </w:pPr>
      <w:r>
        <w:t xml:space="preserve">paso 2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p>
      <w:pPr>
        <w:pStyle w:val="Textoindependiente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2023-06-06T17:40:59Z</dcterms:created>
  <dcterms:modified xsi:type="dcterms:W3CDTF">2023-06-06T17:40:59Z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