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-service.-fase-ii.-pry01-gobierno-soa"/>
    <w:p>
      <w:pPr>
        <w:pStyle w:val="Ttulo1"/>
      </w:pPr>
      <w:r>
        <w:t xml:space="preserve">E-Service. Fase II. PRY01 Gobierno SOA</w:t>
      </w:r>
    </w:p>
    <w:bookmarkEnd w:id="20"/>
    <w:bookmarkStart w:id="21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21"/>
    <w:bookmarkStart w:id="25" w:name="Xa243999b82280cfd6e56ebddffb3dd3f704c061"/>
    <w:p>
      <w:pPr>
        <w:pStyle w:val="Ttulo1"/>
      </w:pPr>
      <w:r>
        <w:t xml:space="preserve">Producto 2: PR02.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operativa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2023-06-02T04:11:38Z</dcterms:created>
  <dcterms:modified xsi:type="dcterms:W3CDTF">2023-06-02T04:11:38Z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