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-service.-fase-ii.-pry01-gobierno-soa"/>
    <w:p>
      <w:pPr>
        <w:pStyle w:val="Ttulo1"/>
      </w:pPr>
      <w:r>
        <w:t xml:space="preserve">E-Service. Fase II. PRY01 Gobierno SOA</w:t>
      </w:r>
    </w:p>
    <w:bookmarkEnd w:id="20"/>
    <w:bookmarkStart w:id="21" w:name="Xe92f3a0c872b25ee85757beaa64c98c44252204"/>
    <w:p>
      <w:pPr>
        <w:pStyle w:val="Ttulo1"/>
      </w:pPr>
      <w:r>
        <w:t xml:space="preserve">Contenido de los Productos Contractuales, (#contrato 181-2020)</w:t>
      </w:r>
    </w:p>
    <w:bookmarkEnd w:id="21"/>
    <w:bookmarkStart w:id="25" w:name="Xa839c55a2b9af1e80f839677fa6dec7ad0b5541"/>
    <w:p>
      <w:pPr>
        <w:pStyle w:val="Ttulo1"/>
      </w:pPr>
      <w:r>
        <w:t xml:space="preserve">Producto 1: PR02. Detalle de los recursos, herramientas, roles y participantes del gobierno SOA</w:t>
      </w:r>
    </w:p>
    <w:p>
      <w:pPr>
        <w:pStyle w:val="FirstParagraph"/>
      </w:pPr>
      <w:r>
        <w:t xml:space="preserve">Lista de los paquetes de trabajo, personas, roles y herramientas a desplegar en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PRY02, Detalle de los recursos, herramientas, roles y participantes: (…).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Desplegar las mejoras en los flujos críticos por cargo de la oficina de arquitectura del FNA.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2023-05-29T17:41:09Z</dcterms:created>
  <dcterms:modified xsi:type="dcterms:W3CDTF">2023-05-29T17:41:09Z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