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ccf"/>
    <w:p>
      <w:pPr>
        <w:pStyle w:val="Ttulo2"/>
      </w:pPr>
      <w:r>
        <w:t xml:space="preserve">CCF</w:t>
      </w:r>
    </w:p>
    <w:p>
      <w:pPr>
        <w:pStyle w:val="FirstParagraph"/>
      </w:pPr>
      <w:r>
        <w:rPr>
          <w:iCs/>
          <w:i/>
        </w:rPr>
        <w:t xml:space="preserve">Guía: mantener el nivel de detalle sencillo, los menos cantidad de pasos; incluya únicamente lo que permita entender el flujo en una sola página de lectura.</w:t>
      </w:r>
    </w:p>
    <w:p>
      <w:pPr>
        <w:pStyle w:val="Textoindependiente"/>
      </w:pP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Fondo Nacional del Ahorro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_Guía: Biometria</w:t>
            </w:r>
          </w:p>
        </w:tc>
      </w:tr>
    </w:tbl>
    <w:bookmarkStart w:id="20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t xml:space="preserve">El consumidor financiero del FNA, se acerca a los puntos de atención para retiro de cesantias y/o AVC dentro del proceso se le capturan las huellas por dónde llega o inicia el flujo.</w:t>
      </w:r>
      <w:r>
        <w:t xml:space="preserve"> </w:t>
      </w:r>
      <w:r>
        <w:t xml:space="preserve">### Petición</w:t>
      </w:r>
      <w:r>
        <w:t xml:space="preserve"> </w:t>
      </w:r>
      <w:r>
        <w:t xml:space="preserve">_Guía: Los registros de biometria son entregados por el operador biometrico a traves de correo electronico al usuario lider del area</w:t>
      </w:r>
    </w:p>
    <w:bookmarkEnd w:id="20"/>
    <w:bookmarkStart w:id="21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t xml:space="preserve">_Guía: ¿qué pasa después de que el arquitecto, ingeniero, o receptor recibe la petición.</w:t>
      </w:r>
      <w:r>
        <w:t xml:space="preserve"> </w:t>
      </w:r>
      <w:r>
        <w:t xml:space="preserve">al presentar fallas del servicio, se realizar mesa técnica para verificar el estado de los componentes de arquitectura, aplicación , redes, Etc</w:t>
      </w:r>
      <w:r>
        <w:t xml:space="preserve"> </w:t>
      </w:r>
      <w:r>
        <w:t xml:space="preserve">- paso 1 cobis envia un ID al operador biometrico</w:t>
      </w:r>
      <w:r>
        <w:t xml:space="preserve"> </w:t>
      </w:r>
      <w:r>
        <w:t xml:space="preserve">- paso 2 el operador biometrico responde el ID</w:t>
      </w:r>
      <w:r>
        <w:t xml:space="preserve"> </w:t>
      </w:r>
      <w:r>
        <w:t xml:space="preserve">- paso 3 El operador levanta el servicio</w:t>
      </w:r>
      <w:r>
        <w:t xml:space="preserve"> </w:t>
      </w:r>
      <w:r>
        <w:t xml:space="preserve">- paso 4 El aplicativo core envía la petición de biometria</w:t>
      </w:r>
      <w:r>
        <w:t xml:space="preserve"> </w:t>
      </w:r>
      <w:r>
        <w:t xml:space="preserve">- el operador biometrico responde con un hit o no hit (hit que quiere decir que la persona es quien dice ser, no hit no es quien dice ser)</w:t>
      </w:r>
    </w:p>
    <w:p>
      <w:pPr>
        <w:pStyle w:val="Textoindependiente"/>
      </w:pPr>
      <w:r>
        <w:t xml:space="preserve">excepcion de los casos de uso</w:t>
      </w:r>
      <w:r>
        <w:t xml:space="preserve"> </w:t>
      </w:r>
      <w:r>
        <w:t xml:space="preserve">exhaustividad de las pruebas</w:t>
      </w:r>
      <w:r>
        <w:br/>
      </w:r>
      <w:r>
        <w:t xml:space="preserve">la confiabilidad de las pruebas</w:t>
      </w:r>
      <w:r>
        <w:t xml:space="preserve"> </w:t>
      </w:r>
      <w:r>
        <w:t xml:space="preserve">Malla de calidad de las pruebas</w:t>
      </w:r>
    </w:p>
    <w:p>
      <w:pPr>
        <w:pStyle w:val="Textoindependiente"/>
      </w:pPr>
      <w:r>
        <w:t xml:space="preserve">fortalecimiento de diseño</w:t>
      </w:r>
      <w:r>
        <w:t xml:space="preserve"> </w:t>
      </w:r>
      <w:r>
        <w:t xml:space="preserve">categoria: Alta</w:t>
      </w:r>
      <w:r>
        <w:t xml:space="preserve"> </w:t>
      </w:r>
      <w:r>
        <w:t xml:space="preserve">caso de uso: excepciones</w:t>
      </w:r>
    </w:p>
    <w:bookmarkEnd w:id="21"/>
    <w:bookmarkStart w:id="22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t xml:space="preserve">El valor es alto, debido a que afecta al Consumidor financiero en el retiro de las cesantias</w:t>
      </w:r>
    </w:p>
    <w:bookmarkEnd w:id="22"/>
    <w:bookmarkStart w:id="23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t xml:space="preserve">El seguimiento se realiza diariamente con la conciliacion aplicada por el area usuaria</w:t>
      </w:r>
    </w:p>
    <w:bookmarkEnd w:id="23"/>
    <w:bookmarkStart w:id="24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t xml:space="preserve">el resultado del trabajo será, la implementacion de herramientas de gobierno que permitan el fortalecimiento en el diseño para la aplicacion</w:t>
      </w:r>
    </w:p>
    <w:bookmarkEnd w:id="24"/>
    <w:bookmarkStart w:id="25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t xml:space="preserve">_Guía: Implementar un buen diseño en la aplicacion y malla de calidad en la pruebas</w:t>
      </w: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2023-06-04T21:25:30Z</dcterms:created>
  <dcterms:modified xsi:type="dcterms:W3CDTF">2023-06-04T21:25:30Z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