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Hoja</w:t>
      </w:r>
      <w:r>
        <w:t xml:space="preserve"> </w:t>
      </w:r>
      <w:r>
        <w:t xml:space="preserve">de</w:t>
      </w:r>
      <w:r>
        <w:t xml:space="preserve"> </w:t>
      </w:r>
      <w:r>
        <w:t xml:space="preserve">Ruta</w:t>
      </w:r>
      <w:r>
        <w:t xml:space="preserve"> </w:t>
      </w:r>
      <w:r>
        <w:t xml:space="preserve">E-Service</w:t>
      </w:r>
      <w:r>
        <w:t xml:space="preserve"> </w:t>
      </w:r>
      <w:r>
        <w:t xml:space="preserve">PRY01</w:t>
      </w:r>
      <w:r>
        <w:t xml:space="preserve"> </w:t>
      </w:r>
      <w:r>
        <w:t xml:space="preserve">Gobierno</w:t>
      </w:r>
      <w:r>
        <w:t xml:space="preserve"> </w:t>
      </w:r>
      <w:r>
        <w:t xml:space="preserve">SOA</w:t>
      </w:r>
      <w:r>
        <w:t xml:space="preserve"> </w:t>
      </w:r>
      <w:r>
        <w:t xml:space="preserve">FNA</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hwong23/fna-dd-f2-pry1@0043482</w:t>
        </w:r>
      </w:hyperlink>
      <w:r>
        <w:t xml:space="preserve"> </w:t>
      </w:r>
      <w:r>
        <w:t xml:space="preserve">del June 2, 2023.</w:t>
      </w:r>
      <w:r>
        <w:t xml:space="preserve"> </w:t>
      </w:r>
    </w:p>
    <w:p>
      <w:pPr>
        <w:pStyle w:val="Textoindependiente"/>
      </w:pPr>
      <w:r>
        <w:t xml:space="preserve">   </w:t>
      </w:r>
      <w:r>
        <w:rPr>
          <w:bCs/>
          <w:b/>
        </w:rPr>
        <w:t xml:space="preserve">Version</w:t>
      </w:r>
      <w:r>
        <w:t xml:space="preserve"> </w:t>
      </w:r>
      <w:r>
        <w:t xml:space="preserve">del producto 0043482 del 02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GitHub icon</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GitHub icon</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GitHub icon</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GitHub icon</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Hoja de ruta de los proyectos de cierre de brecha E-Service</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0043482 del 02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02 Jun 2023</w:t>
      </w:r>
    </w:p>
    <w:p>
      <w:pPr>
        <w:pStyle w:val="Textodebloque"/>
      </w:pPr>
      <w:r>
        <w:rPr>
          <w:bCs/>
          <w:b/>
        </w:rPr>
        <w:t xml:space="preserve">Version</w:t>
      </w:r>
      <w:r>
        <w:t xml:space="preserve"> </w:t>
      </w:r>
      <w:r>
        <w:t xml:space="preserve">0043482</w:t>
      </w:r>
    </w:p>
    <w:p>
      <w:pPr>
        <w:pStyle w:val="FirstParagraph"/>
      </w:pPr>
      <w:r>
        <w:t xml:space="preserve">E-Service. Fase II</w:t>
      </w:r>
    </w:p>
    <w:p>
      <w:pPr>
        <w:pStyle w:val="Textoindependiente"/>
      </w:pPr>
      <w:r>
        <w:t xml:space="preserve">PRY01 Gobierno SOA. Contenido de los Productos Contractuales</w:t>
      </w:r>
    </w:p>
    <w:p>
      <w:pPr>
        <w:pStyle w:val="Textoindependiente"/>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los flujos críticos de trabajo sujetos al gobierno SOA</w:t>
      </w:r>
    </w:p>
    <w:p>
      <w:pPr>
        <w:numPr>
          <w:ilvl w:val="0"/>
          <w:numId w:val="1003"/>
        </w:numPr>
        <w:pStyle w:val="Compact"/>
      </w:pPr>
      <w:r>
        <w:t xml:space="preserve">Vista de segmento de la empresa del proyecto 1 (PRY01), Gobierno SOA FNA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422"/>
        <w:gridCol w:w="7497"/>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0043482 del 02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35"/>
    <w:bookmarkEnd w:id="36"/>
    <w:bookmarkStart w:id="48" w:name="Xfec879a391e4be25250b3f76a221c11ca8d002a"/>
    <w:p>
      <w:pPr>
        <w:pStyle w:val="Ttulo1"/>
      </w:pPr>
      <w:r>
        <w:t xml:space="preserve">Vista de Contexto Fase II, E-Service, 2023 (181-2020)</w:t>
      </w:r>
    </w:p>
    <w:bookmarkStart w:id="41" w:name="Xa7bf09accd813b07c97e8a351408ece794b8f54"/>
    <w:p>
      <w:pPr>
        <w:pStyle w:val="Ttulo2"/>
      </w:pPr>
      <w:r>
        <w:t xml:space="preserve">Elementos de la Arquitectura Impactados por el Proyecto</w:t>
      </w:r>
    </w:p>
    <w:p>
      <w:pPr>
        <w:pStyle w:val="FirstParagraph"/>
      </w:pPr>
      <w:r>
        <w:t xml:space="preserve">La vista de contexto o segmento de empresa presenta un corte de la arquitectura del Fondo Nacional del Ahorro (FNA, en adelante) acotada a las partes que son sujeto de trabajo de este proyecto, Gobierno SOA, Fase II, E-Service (contrato 181-2020). Si bien, la vista contiene aquellas partes directamente relacionadas con el proyecto, también presenta la relación indirecta que hay con otros ítems de la arquitectura del FNA.</w:t>
      </w:r>
    </w:p>
    <w:p>
      <w:pPr>
        <w:pStyle w:val="Figure"/>
      </w:pPr>
      <w:r>
        <w:drawing>
          <wp:inline>
            <wp:extent cx="5600700" cy="6506407"/>
            <wp:effectExtent b="0" l="0" r="0" t="0"/>
            <wp:docPr descr=""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Elementos de la arquitectura del FNA, la empresa, involucrados e impactados por el proyecto actual. Muestra además la relación indirecta con otras partes de la empresa, externas a la vista de contexto.</w:t>
      </w:r>
    </w:p>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en esta caso, aunque sea de caracter empresarial está condicionada por las restricciones del proyecto presente, no puede por esto mismo abarcar a la completitud de la empresa. Por esta razón el segmento presentado en la imagen arriba hace foco en las partes que son relevantes según las restricciones de ejecución y resultados esperados de este proyecto. Segundo, la vista de contexto comunica las problemáticas y operaciones (en forma de trabajo, al final de la vista) que se deberán realizar para producir una solución esperada e los términos del proyecto, que en esta caso es de Gobierno SOA.</w:t>
      </w:r>
    </w:p>
    <w:p>
      <w:pPr>
        <w:pStyle w:val="Textoindependiente"/>
      </w:pPr>
      <w:r>
        <w:t xml:space="preserve">Tercero y último, facilita la justificación y los criterios con los que se realizó la inclusión de los ítems que en ella figuran.</w:t>
      </w:r>
    </w:p>
    <w:p>
      <w:pPr>
        <w:pStyle w:val="Textoindependiente"/>
      </w:pPr>
    </w:p>
    <w:bookmarkEnd w:id="41"/>
    <w:bookmarkStart w:id="42" w:name="X684aa5c3305e26e9ba2543f5ad1c22661424643"/>
    <w:p>
      <w:pPr>
        <w:pStyle w:val="Ttulo2"/>
      </w:pPr>
      <w:r>
        <w:t xml:space="preserve">Justificación de los Ítems de Arquitectura Impactados por el Proyecto</w:t>
      </w:r>
    </w:p>
    <w:p>
      <w:pPr>
        <w:pStyle w:val="FirstParagraph"/>
      </w:pPr>
      <w:r>
        <w:t xml:space="preserve">En función a los resultados de los diagnósticos de E-Service, Fase Idel, específicamente de la evaluación de madurez de las dimensiones de arquitectura para el FNA, Negocio, Organización y Gobierno,</w:t>
      </w:r>
      <w:r>
        <w:t xml:space="preserve"> </w:t>
      </w:r>
      <w:r>
        <w:t xml:space="preserve">Método, Aplicaciones, Arquitectura, Información e Infraestructura; el FNA se encuentra en un nivel de madurez</w:t>
      </w:r>
      <w:r>
        <w:t xml:space="preserve"> </w:t>
      </w:r>
      <w:r>
        <w:rPr>
          <w:bCs/>
          <w:b/>
        </w:rPr>
        <w:t xml:space="preserve">REACTIVO</w:t>
      </w:r>
      <w:r>
        <w:t xml:space="preserve"> </w:t>
      </w:r>
      <w:r>
        <w:t xml:space="preserve">asociado a</w:t>
      </w:r>
      <w:r>
        <w:t xml:space="preserve"> </w:t>
      </w:r>
      <w:r>
        <w:t xml:space="preserve">una gestión de información en modo aislado según las necesidades de cada área/sistema y por otra parte se encuentran soluciones específicas</w:t>
      </w:r>
      <w:r>
        <w:t xml:space="preserve"> </w:t>
      </w:r>
      <w:r>
        <w:t xml:space="preserve">para demandas puntuales.</w:t>
      </w:r>
    </w:p>
    <w:p>
      <w:pPr>
        <w:pStyle w:val="Textoindependiente"/>
      </w:pPr>
      <w:r>
        <w:t xml:space="preserve">En ese sentido, se hace necesario impactar los procesos que mayor presentan estas problemáticas en el Fondo, en función de mejorar la calidad de los servicios que presta, y en cumplimiento tanto de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Ministerio de Tecnologías de la Información y las Comunicaciones. Y dentro de esos procesos misionales, las actividades asociadas a</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 constituyen elementos que habilitan al FNA, para una adecuada ruta de calidad de servicio y generación de valor para los interesados.</w:t>
      </w:r>
    </w:p>
    <w:p>
      <w:pPr>
        <w:pStyle w:val="Textoindependiente"/>
      </w:pPr>
      <w:r>
        <w:t xml:space="preserve">Estos elementos son abordados en el periodo de tiempo establecido para el ejercicio del proyecto, esto es</w:t>
      </w:r>
      <w:r>
        <w:t xml:space="preserve"> </w:t>
      </w:r>
      <w:r>
        <w:rPr>
          <w:iCs/>
          <w:i/>
        </w:rPr>
        <w:t xml:space="preserve">dos meses</w:t>
      </w:r>
      <w:r>
        <w:t xml:space="preserve">, y con el equipo de trabajo presentado para su desarrollo.</w:t>
      </w:r>
    </w:p>
    <w:p>
      <w:pPr>
        <w:pStyle w:val="Textoindependiente"/>
      </w:pPr>
      <w:r>
        <w:t xml:space="preserve">Por otra parte; se hace necesario establecer los artefactos que son relevantes para la Entidad, en función de su misionalidad y las demandas</w:t>
      </w:r>
      <w:r>
        <w:t xml:space="preserve"> </w:t>
      </w:r>
      <w:r>
        <w:t xml:space="preserve">de los interesados</w:t>
      </w:r>
      <w:r>
        <w:t xml:space="preserve"> </w:t>
      </w:r>
      <w:r>
        <w:rPr>
          <w:bCs/>
          <w:b/>
        </w:rPr>
        <w:t xml:space="preserve">ciudadanos</w:t>
      </w: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6"/>
        </w:numPr>
        <w:pStyle w:val="Compact"/>
      </w:pPr>
      <w:r>
        <w:t xml:space="preserve">Diseño con enfoque centrado en los usuarios, (ciudadanos)</w:t>
      </w:r>
    </w:p>
    <w:p>
      <w:pPr>
        <w:numPr>
          <w:ilvl w:val="0"/>
          <w:numId w:val="1006"/>
        </w:numPr>
        <w:pStyle w:val="Compact"/>
      </w:pPr>
      <w:r>
        <w:t xml:space="preserve">Solución de problemas complejos a través de la Innovación</w:t>
      </w:r>
    </w:p>
    <w:p>
      <w:pPr>
        <w:numPr>
          <w:ilvl w:val="0"/>
          <w:numId w:val="1006"/>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43"/>
    <w:bookmarkStart w:id="44"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w:t>
      </w:r>
    </w:p>
    <w:p>
      <w:pPr>
        <w:pStyle w:val="FirstParagraph"/>
      </w:pPr>
    </w:p>
    <w:bookmarkEnd w:id="44"/>
    <w:bookmarkStart w:id="45"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r>
        <w:pict>
          <v:rect style="width:0;height:1.5pt" o:hralign="center" o:hrstd="t" o:hr="t"/>
        </w:pict>
      </w:r>
    </w:p>
    <w:bookmarkEnd w:id="46"/>
    <w:bookmarkEnd w:id="47"/>
    <w:bookmarkEnd w:id="48"/>
    <w:bookmarkStart w:id="54" w:name="anexos-del-producto-1-pr01"/>
    <w:p>
      <w:pPr>
        <w:pStyle w:val="Ttulo1"/>
      </w:pPr>
      <w:r>
        <w:t xml:space="preserve">Anexos del Producto 1 (PR01)</w:t>
      </w:r>
    </w:p>
    <w:bookmarkStart w:id="51" w:name="vista-de-segmento-del-proyecto"/>
    <w:p>
      <w:pPr>
        <w:pStyle w:val="Ttulo2"/>
      </w:pPr>
      <w:r>
        <w:t xml:space="preserve">1. Vista de Segmento del Proyecto</w:t>
      </w:r>
    </w:p>
    <w:p>
      <w:pPr>
        <w:pStyle w:val="Figure"/>
      </w:pPr>
      <w:r>
        <w:drawing>
          <wp:inline>
            <wp:extent cx="5600700" cy="6506407"/>
            <wp:effectExtent b="0" l="0" r="0" t="0"/>
            <wp:docPr descr="" title="" id="49" name="Picture"/>
            <a:graphic>
              <a:graphicData uri="http://schemas.openxmlformats.org/drawingml/2006/picture">
                <pic:pic>
                  <pic:nvPicPr>
                    <pic:cNvPr descr="images/segmentoFNAfaseII.jpg" id="50"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40">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51"/>
    <w:bookmarkStart w:id="52"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bookmarkEnd w:id="52"/>
    <w:bookmarkStart w:id="53"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826"/>
        <w:gridCol w:w="6060"/>
        <w:gridCol w:w="1033"/>
      </w:tblGrid>
      <w:tr>
        <w:trPr>
          <w:tblHeader w:val="true"/>
        </w:trPr>
        <w:tc>
          <w:tcPr/>
          <w:p>
            <w:pPr>
              <w:pStyle w:val="Compact"/>
            </w:pPr>
          </w:p>
        </w:tc>
        <w:tc>
          <w:tcPr/>
          <w:p>
            <w:pPr>
              <w:pStyle w:val="Compact"/>
              <w:jc w:val="left"/>
            </w:pPr>
            <w:r>
              <w:t xml:space="preserve">PRY01. Gobierno SOA</w:t>
            </w:r>
          </w:p>
        </w:tc>
        <w:tc>
          <w:tcPr/>
          <w:p>
            <w:pPr>
              <w:pStyle w:val="Compact"/>
              <w:jc w:val="left"/>
            </w:pPr>
            <w:r>
              <w:t xml:space="preserve">Documentación</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c>
          <w:tcPr/>
          <w:p>
            <w:pPr>
              <w:pStyle w:val="Compact"/>
            </w:pPr>
          </w:p>
        </w:tc>
      </w:tr>
      <w:tr>
        <w:tc>
          <w:tcPr/>
          <w:p>
            <w:pPr>
              <w:pStyle w:val="Compact"/>
            </w:pPr>
          </w:p>
        </w:tc>
        <w:tc>
          <w:tcPr/>
          <w:p>
            <w:pPr>
              <w:pStyle w:val="Compact"/>
              <w:jc w:val="left"/>
            </w:pPr>
            <w:r>
              <w:t xml:space="preserve">PR01.1. Aprobación de inicio y personal FNA asignado Gobierno SOA</w:t>
            </w:r>
          </w:p>
        </w:tc>
        <w:tc>
          <w:tcPr/>
          <w:p>
            <w:pPr>
              <w:pStyle w:val="Compact"/>
            </w:pP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c>
          <w:tcPr/>
          <w:p>
            <w:pPr>
              <w:pStyle w:val="Compact"/>
            </w:pPr>
          </w:p>
        </w:tc>
      </w:tr>
      <w:tr>
        <w:tc>
          <w:tcPr/>
          <w:p>
            <w:pPr>
              <w:pStyle w:val="Compact"/>
            </w:pPr>
          </w:p>
        </w:tc>
        <w:tc>
          <w:tcPr/>
          <w:p>
            <w:pPr>
              <w:pStyle w:val="Compact"/>
              <w:jc w:val="left"/>
            </w:pPr>
            <w:r>
              <w:t xml:space="preserve">PR03. Diseño de los procesos y responsabilidades del comité de gobierno</w:t>
            </w:r>
          </w:p>
        </w:tc>
        <w:tc>
          <w:tcPr/>
          <w:p>
            <w:pPr>
              <w:pStyle w:val="Compact"/>
            </w:pP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c>
          <w:tcPr/>
          <w:p>
            <w:pPr>
              <w:pStyle w:val="Compact"/>
            </w:pPr>
          </w:p>
        </w:tc>
      </w:tr>
      <w:tr>
        <w:tc>
          <w:tcPr/>
          <w:p>
            <w:pPr>
              <w:pStyle w:val="Compact"/>
            </w:pPr>
          </w:p>
        </w:tc>
        <w:tc>
          <w:tcPr/>
          <w:p>
            <w:pPr>
              <w:pStyle w:val="Compact"/>
              <w:jc w:val="left"/>
            </w:pPr>
            <w:r>
              <w:t xml:space="preserve">PR05. Procesos de mejoramiento de diseño y vigilancia de riesgos técnicos</w:t>
            </w:r>
          </w:p>
        </w:tc>
        <w:tc>
          <w:tcPr/>
          <w:p>
            <w:pPr>
              <w:pStyle w:val="Compact"/>
            </w:pP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c>
          <w:tcPr/>
          <w:p>
            <w:pPr>
              <w:pStyle w:val="Compact"/>
            </w:pPr>
          </w:p>
        </w:tc>
      </w:tr>
      <w:tr>
        <w:tc>
          <w:tcPr/>
          <w:p>
            <w:pPr>
              <w:pStyle w:val="Compact"/>
              <w:jc w:val="left"/>
            </w:pPr>
            <w:r>
              <w:t xml:space="preserve">Fase 4</w:t>
            </w:r>
          </w:p>
        </w:tc>
        <w:tc>
          <w:tcPr/>
          <w:p>
            <w:pPr>
              <w:pStyle w:val="Compact"/>
              <w:jc w:val="left"/>
            </w:pPr>
            <w:r>
              <w:t xml:space="preserve">PR07. Métricas de efectividad del gobierno</w:t>
            </w:r>
          </w:p>
        </w:tc>
        <w:tc>
          <w:tcPr/>
          <w:p>
            <w:pPr>
              <w:pStyle w:val="Compact"/>
            </w:pPr>
          </w:p>
        </w:tc>
      </w:tr>
      <w:tr>
        <w:tc>
          <w:tcPr/>
          <w:p>
            <w:pPr>
              <w:pStyle w:val="Compact"/>
              <w:jc w:val="left"/>
            </w:pPr>
            <w:r>
              <w:t xml:space="preserve">A</w:t>
            </w:r>
          </w:p>
        </w:tc>
        <w:tc>
          <w:tcPr/>
          <w:p>
            <w:pPr>
              <w:pStyle w:val="Compact"/>
              <w:jc w:val="left"/>
            </w:pPr>
            <w:r>
              <w:t xml:space="preserve">Generar lineamientos y políticas de gobierno SOA</w:t>
            </w:r>
          </w:p>
        </w:tc>
        <w:tc>
          <w:tcPr/>
          <w:p>
            <w:pPr>
              <w:pStyle w:val="Compact"/>
            </w:pPr>
          </w:p>
        </w:tc>
      </w:tr>
      <w:tr>
        <w:tc>
          <w:tcPr/>
          <w:p>
            <w:pPr>
              <w:pStyle w:val="Compact"/>
            </w:pPr>
          </w:p>
        </w:tc>
        <w:tc>
          <w:tcPr/>
          <w:p>
            <w:pPr>
              <w:pStyle w:val="Compact"/>
              <w:jc w:val="left"/>
            </w:pPr>
            <w:r>
              <w:t xml:space="preserve">Aplicar y fortalecer gobierno SOA en el FNA</w:t>
            </w:r>
          </w:p>
        </w:tc>
        <w:tc>
          <w:tcPr/>
          <w:p>
            <w:pPr>
              <w:pStyle w:val="Compact"/>
            </w:pPr>
          </w:p>
        </w:tc>
      </w:tr>
      <w:tr>
        <w:tc>
          <w:tcPr/>
          <w:p>
            <w:pPr>
              <w:pStyle w:val="Compact"/>
            </w:pPr>
          </w:p>
        </w:tc>
        <w:tc>
          <w:tcPr/>
          <w:p>
            <w:pPr>
              <w:pStyle w:val="Compact"/>
              <w:jc w:val="left"/>
            </w:pPr>
            <w:r>
              <w:t xml:space="preserve">Medir las decisiones de arquitectura y del proceso de desarrollo de las soluciones SOA</w:t>
            </w:r>
          </w:p>
        </w:tc>
        <w:tc>
          <w:tcPr/>
          <w:p>
            <w:pPr>
              <w:pStyle w:val="Compact"/>
            </w:pPr>
          </w:p>
        </w:tc>
      </w:tr>
    </w:tbl>
    <w:p>
      <w:pPr>
        <w:pStyle w:val="Textoindependiente"/>
      </w:pPr>
    </w:p>
    <w:bookmarkEnd w:id="53"/>
    <w:bookmarkEnd w:id="54"/>
    <w:bookmarkStart w:id="55" w:name="e-service.-fase-ii.-pry01-gobierno-soa"/>
    <w:p>
      <w:pPr>
        <w:pStyle w:val="Ttulo1"/>
      </w:pPr>
      <w:r>
        <w:t xml:space="preserve">E-Service. Fase II. PRY01 Gobierno SOA</w:t>
      </w:r>
    </w:p>
    <w:bookmarkEnd w:id="55"/>
    <w:bookmarkStart w:id="56" w:name="Xe92f3a0c872b25ee85757beaa64c98c44252204"/>
    <w:p>
      <w:pPr>
        <w:pStyle w:val="Ttulo1"/>
      </w:pPr>
      <w:r>
        <w:t xml:space="preserve">Contenido de los Productos Contractuales, (#contrato 181-2020)</w:t>
      </w:r>
    </w:p>
    <w:bookmarkEnd w:id="56"/>
    <w:bookmarkStart w:id="60" w:name="Xa243999b82280cfd6e56ebddffb3dd3f704c061"/>
    <w:p>
      <w:pPr>
        <w:pStyle w:val="Ttulo1"/>
      </w:pPr>
      <w:r>
        <w:t xml:space="preserve">Producto 2: PR02.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57" w:name="justificación-1"/>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57"/>
    <w:bookmarkStart w:id="58" w:name="contenidos-1"/>
    <w:p>
      <w:pPr>
        <w:pStyle w:val="Ttulo2"/>
      </w:pPr>
      <w:r>
        <w:t xml:space="preserve">Contenidos</w:t>
      </w:r>
    </w:p>
    <w:p>
      <w:pPr>
        <w:numPr>
          <w:ilvl w:val="0"/>
          <w:numId w:val="1008"/>
        </w:numPr>
        <w:pStyle w:val="Compact"/>
      </w:pPr>
      <w:r>
        <w:t xml:space="preserve">Modelo de gobierno SOA del FNA: actores, información y procedimientos</w:t>
      </w:r>
    </w:p>
    <w:p>
      <w:pPr>
        <w:numPr>
          <w:ilvl w:val="0"/>
          <w:numId w:val="1008"/>
        </w:numPr>
        <w:pStyle w:val="Compact"/>
      </w:pPr>
      <w:r>
        <w:t xml:space="preserve">Flujo de trabajo de oficina de arquitectura del FNA</w:t>
      </w:r>
    </w:p>
    <w:p>
      <w:pPr>
        <w:numPr>
          <w:ilvl w:val="0"/>
          <w:numId w:val="1008"/>
        </w:numPr>
        <w:pStyle w:val="Compact"/>
      </w:pPr>
      <w:r>
        <w:t xml:space="preserve">Matriz de responsabilidades oficina de arquitectura</w:t>
      </w:r>
    </w:p>
    <w:p>
      <w:pPr>
        <w:numPr>
          <w:ilvl w:val="0"/>
          <w:numId w:val="1008"/>
        </w:numPr>
        <w:pStyle w:val="Compact"/>
      </w:pPr>
      <w:r>
        <w:t xml:space="preserve">Procedimientos base del modelo de gobierno / oficina de arquitectura</w:t>
      </w:r>
    </w:p>
    <w:p>
      <w:pPr>
        <w:numPr>
          <w:ilvl w:val="0"/>
          <w:numId w:val="1008"/>
        </w:numPr>
        <w:pStyle w:val="Compact"/>
      </w:pPr>
      <w:r>
        <w:t xml:space="preserve">Anexos. Referencia documental del Gobierno SOA del FNA</w:t>
      </w:r>
    </w:p>
    <w:p>
      <w:pPr>
        <w:pStyle w:val="FirstParagraph"/>
      </w:pPr>
    </w:p>
    <w:bookmarkEnd w:id="58"/>
    <w:bookmarkStart w:id="59" w:name="criterios-de-aceptación-1"/>
    <w:p>
      <w:pPr>
        <w:pStyle w:val="Ttulo2"/>
      </w:pPr>
      <w:r>
        <w:t xml:space="preserve">Criterios de Aceptación</w:t>
      </w:r>
    </w:p>
    <w:p>
      <w:pPr>
        <w:numPr>
          <w:ilvl w:val="0"/>
          <w:numId w:val="1009"/>
        </w:numPr>
        <w:pStyle w:val="Compact"/>
      </w:pPr>
      <w:r>
        <w:t xml:space="preserve">Entendimiento funcional y operativa de la oficina de arquitectura FNA</w:t>
      </w:r>
    </w:p>
    <w:p>
      <w:pPr>
        <w:numPr>
          <w:ilvl w:val="0"/>
          <w:numId w:val="1009"/>
        </w:numPr>
        <w:pStyle w:val="Compact"/>
      </w:pPr>
      <w:r>
        <w:t xml:space="preserve">Matriz de roles y procedimientos de la oficina de arquitetura FNA</w:t>
      </w:r>
    </w:p>
    <w:p>
      <w:pPr>
        <w:pStyle w:val="FirstParagraph"/>
      </w:pPr>
    </w:p>
    <w:p>
      <w:r>
        <w:pict>
          <v:rect style="width:0;height:1.5pt" o:hralign="center" o:hrstd="t" o:hr="t"/>
        </w:pict>
      </w:r>
    </w:p>
    <w:bookmarkEnd w:id="59"/>
    <w:bookmarkEnd w:id="60"/>
    <w:bookmarkStart w:id="83" w:name="elementos-de-gobierno"/>
    <w:p>
      <w:pPr>
        <w:pStyle w:val="Ttulo1"/>
      </w:pPr>
      <w:r>
        <w:t xml:space="preserve">Elementos de Gobierno</w:t>
      </w:r>
    </w:p>
    <w:p>
      <w:pPr>
        <w:pStyle w:val="FirstParagraph"/>
      </w:pPr>
      <w:r>
        <w:t xml:space="preserve">El gobierno SOA del FNA, objeto de este proyecto, tiene impacto sobre partes e ítems seleccionadas de la arquitectura de software y de servicios del FNA, respectivamente (ver vista de contextual, segmento de la empresa). El impacto de este gobierno se extiende a actores principales, interesados, usuarios y entidades relacionados con aquellas partes de la arquitectura del FNA.</w:t>
      </w:r>
    </w:p>
    <w:bookmarkStart w:id="61" w:name="objetivo-del-gobierno-soa-del-fna"/>
    <w:p>
      <w:pPr>
        <w:pStyle w:val="Ttulo2"/>
      </w:pPr>
      <w:r>
        <w:t xml:space="preserve">Objetivo del Gobierno SOA del FNA</w:t>
      </w:r>
    </w:p>
    <w:p>
      <w:pPr>
        <w:pStyle w:val="FirstParagraph"/>
      </w:pPr>
      <w:r>
        <w:t xml:space="preserve">El FNN ha establecido como pilar tecnológico el Gobierno SOA tal que permita la continuidad de servicio, identificar las amenazas y riesgos que pueden impactar el desarrollo y la gestión de las arquitecturas de software del Fondo; tarea base para la generación de planes enfocados a la alienación y puesta marcha de futuras soluciones y mejoras de las actuales.</w:t>
      </w:r>
    </w:p>
    <w:bookmarkEnd w:id="61"/>
    <w:bookmarkStart w:id="65" w:name="X7f84bb94068da007d469c7240a92a859956f28c"/>
    <w:p>
      <w:pPr>
        <w:pStyle w:val="Ttulo2"/>
      </w:pPr>
      <w:r>
        <w:t xml:space="preserve">Análisis de Impacto en las arquitecturas (AIA) del FNA</w:t>
      </w:r>
    </w:p>
    <w:p>
      <w:pPr>
        <w:pStyle w:val="FirstParagraph"/>
      </w:pPr>
      <w:r>
        <w:t xml:space="preserve">El análisis de impacto en el negocio BIA (Business Impact Analisys) permite la evaluación de cada componente, para determinar cuáles de ellos son críticos para la continuidad del servicio y es la base para la creación del Plan de Continuidad.</w:t>
      </w:r>
    </w:p>
    <w:p>
      <w:pPr>
        <w:pStyle w:val="Textoindependiente"/>
      </w:pPr>
      <w:r>
        <w:t xml:space="preserve">Todas las etapas asociadas a este análisis se han documentado en la Matriz de Análisis BIA. A continuación, los resultados claves para el plan de continuidad del servicio.</w:t>
      </w:r>
    </w:p>
    <w:p>
      <w:pPr>
        <w:pStyle w:val="Textoindependiente"/>
      </w:pPr>
      <w:r>
        <w:t xml:space="preserve">Los pasos para el análisis BIA son:</w:t>
      </w:r>
    </w:p>
    <w:p>
      <w:pPr>
        <w:pStyle w:val="Textoindependiente"/>
      </w:pPr>
      <w:r>
        <w:t xml:space="preserve">Identificación de los componentes (CCF).</w:t>
      </w:r>
      <w:r>
        <w:t xml:space="preserve"> </w:t>
      </w:r>
      <w:r>
        <w:t xml:space="preserve">Identificación del calendario crítico para la operación de cada componente (picos de operación y épocas en las que su funcionamiento es indispensable).</w:t>
      </w:r>
      <w:r>
        <w:t xml:space="preserve"> </w:t>
      </w:r>
      <w:r>
        <w:t xml:space="preserve">Identificación de las dependencias e interacciones críticas para cada componente.</w:t>
      </w:r>
      <w:r>
        <w:t xml:space="preserve"> </w:t>
      </w:r>
      <w:r>
        <w:t xml:space="preserve">Análisis del impacto Financiero, Reputacional, Legal o al Usuario de la ausencia del componente en la línea de tiempo.</w:t>
      </w:r>
      <w:r>
        <w:t xml:space="preserve"> </w:t>
      </w:r>
      <w:r>
        <w:t xml:space="preserve">Tiempo Objetivo de Recuperación (RTO) para cada componente.</w:t>
      </w:r>
      <w:r>
        <w:t xml:space="preserve"> </w:t>
      </w:r>
      <w:r>
        <w:t xml:space="preserve">Identificación de los recursos mínimos para operar en contingencia.</w:t>
      </w:r>
      <w:r>
        <w:t xml:space="preserve"> </w:t>
      </w:r>
      <w:r>
        <w:t xml:space="preserve">Determinación del Punto Objetivo de Recuperación (RPO)</w:t>
      </w:r>
    </w:p>
    <w:bookmarkStart w:id="62" w:name="flujos-críticos-de-trabajo"/>
    <w:p>
      <w:pPr>
        <w:pStyle w:val="Ttulo3"/>
      </w:pPr>
      <w:r>
        <w:t xml:space="preserve">Flujos Críticos de Trabajo</w:t>
      </w:r>
    </w:p>
    <w:bookmarkEnd w:id="62"/>
    <w:bookmarkStart w:id="63" w:name="gestión-del-riesgo-técnico"/>
    <w:p>
      <w:pPr>
        <w:pStyle w:val="Ttulo3"/>
      </w:pPr>
      <w:r>
        <w:t xml:space="preserve">Gestión del Riesgo Técnico</w:t>
      </w:r>
    </w:p>
    <w:bookmarkEnd w:id="63"/>
    <w:bookmarkStart w:id="64" w:name="Xcd77ee836a8c879442fd4c95d02af51daa53318"/>
    <w:p>
      <w:pPr>
        <w:pStyle w:val="Ttulo3"/>
      </w:pPr>
      <w:r>
        <w:t xml:space="preserve">Definición de Estrategias de Contingencia</w:t>
      </w:r>
    </w:p>
    <w:p>
      <w:pPr>
        <w:pStyle w:val="FirstParagraph"/>
      </w:pPr>
      <w:r>
        <w:t xml:space="preserve">Las estrategias de contingencia se establecen para cada riesgo crítico analizado, contemplando para ello las redundancias existentes y los requisitos de seguridad que deben mantenerse en observación durante la materialización del riesgo y la recuperación a la normalidad.</w:t>
      </w:r>
    </w:p>
    <w:bookmarkEnd w:id="64"/>
    <w:bookmarkEnd w:id="65"/>
    <w:bookmarkStart w:id="73" w:name="ccf"/>
    <w:p>
      <w:pPr>
        <w:pStyle w:val="Ttulo2"/>
      </w:pPr>
      <w:r>
        <w:t xml:space="preserve">CCF</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66" w:name="atención"/>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66"/>
    <w:bookmarkStart w:id="67" w:name="petición"/>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67"/>
    <w:bookmarkStart w:id="68" w:name="arquitectura"/>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r>
        <w:t xml:space="preserve"> </w:t>
      </w:r>
      <w:r>
        <w:t xml:space="preserve">- paso 1</w:t>
      </w:r>
      <w:r>
        <w:t xml:space="preserve"> </w:t>
      </w:r>
      <w:r>
        <w:t xml:space="preserve">- 2</w:t>
      </w:r>
      <w:r>
        <w:t xml:space="preserve"> </w:t>
      </w:r>
      <w:r>
        <w:t xml:space="preserve">- 3</w:t>
      </w:r>
      <w:r>
        <w:t xml:space="preserve"> </w:t>
      </w:r>
      <w:r>
        <w:t xml:space="preserve">- 4</w:t>
      </w:r>
    </w:p>
    <w:bookmarkEnd w:id="68"/>
    <w:bookmarkStart w:id="69" w:name="valor"/>
    <w:p>
      <w:pPr>
        <w:pStyle w:val="Ttulo3"/>
      </w:pPr>
      <w:r>
        <w:t xml:space="preserve">Valor</w:t>
      </w:r>
    </w:p>
    <w:p>
      <w:pPr>
        <w:pStyle w:val="FirstParagraph"/>
      </w:pPr>
      <w:r>
        <w:rPr>
          <w:iCs/>
          <w:i/>
        </w:rPr>
        <w:t xml:space="preserve">Guía: cuál es el valor que este flujo genera para el FNA.</w:t>
      </w:r>
    </w:p>
    <w:bookmarkEnd w:id="69"/>
    <w:bookmarkStart w:id="70" w:name="seguimiento"/>
    <w:p>
      <w:pPr>
        <w:pStyle w:val="Ttulo3"/>
      </w:pPr>
      <w:r>
        <w:t xml:space="preserve">Seguimiento</w:t>
      </w:r>
    </w:p>
    <w:p>
      <w:pPr>
        <w:pStyle w:val="FirstParagraph"/>
      </w:pPr>
      <w:r>
        <w:rPr>
          <w:iCs/>
          <w:i/>
        </w:rPr>
        <w:t xml:space="preserve">Guía: cómo se valida que la ejecución o valor gnerado se haya llevado a cabo en dichos términos.</w:t>
      </w:r>
    </w:p>
    <w:bookmarkEnd w:id="70"/>
    <w:bookmarkStart w:id="71" w:name="entrega"/>
    <w:p>
      <w:pPr>
        <w:pStyle w:val="Ttulo3"/>
      </w:pPr>
      <w:r>
        <w:t xml:space="preserve">Entrega</w:t>
      </w:r>
    </w:p>
    <w:p>
      <w:pPr>
        <w:pStyle w:val="FirstParagraph"/>
      </w:pPr>
      <w:r>
        <w:rPr>
          <w:iCs/>
          <w:i/>
        </w:rPr>
        <w:t xml:space="preserve">Guía: cómo se da por entregado el resultado del trabajo al cliente objetivo que inició el flujo.</w:t>
      </w:r>
    </w:p>
    <w:bookmarkEnd w:id="71"/>
    <w:bookmarkStart w:id="72" w:name="repetición"/>
    <w:p>
      <w:pPr>
        <w:pStyle w:val="Ttulo3"/>
      </w:pPr>
      <w:r>
        <w:t xml:space="preserve">Repetición</w:t>
      </w:r>
    </w:p>
    <w:p>
      <w:pPr>
        <w:pStyle w:val="FirstParagraph"/>
      </w:pPr>
      <w:r>
        <w:rPr>
          <w:iCs/>
          <w:i/>
        </w:rPr>
        <w:t xml:space="preserve">Guía: qué es necesario realizar al flujo para que asegurar que el cliente objetivo quiera ejecutarlo nuevamente.</w:t>
      </w:r>
    </w:p>
    <w:bookmarkEnd w:id="72"/>
    <w:bookmarkEnd w:id="73"/>
    <w:bookmarkStart w:id="80" w:name="ccf-1"/>
    <w:p>
      <w:pPr>
        <w:pStyle w:val="Ttulo2"/>
      </w:pPr>
      <w:r>
        <w:t xml:space="preserve">CCF</w:t>
      </w:r>
    </w:p>
    <w:p>
      <w:pPr>
        <w:pStyle w:val="FirstParagraph"/>
      </w:pPr>
      <w:r>
        <w:rPr>
          <w:iCs/>
          <w:i/>
        </w:rPr>
        <w:t xml:space="preserve">Guía: mantener el nivel de detalle sencillo, los menos cantidad de pasos; incluya únicamente lo que permita entender el flujo en una sola página de lectura.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_Guía: Fondo Nacional del Ahorro</w:t>
            </w:r>
          </w:p>
        </w:tc>
      </w:tr>
      <w:tr>
        <w:tc>
          <w:tcPr/>
          <w:p>
            <w:pPr>
              <w:pStyle w:val="Compact"/>
              <w:jc w:val="left"/>
            </w:pPr>
            <w:r>
              <w:t xml:space="preserve">Producto/Servicio:</w:t>
            </w:r>
          </w:p>
        </w:tc>
        <w:tc>
          <w:tcPr/>
          <w:p>
            <w:pPr>
              <w:pStyle w:val="Compact"/>
              <w:jc w:val="left"/>
            </w:pPr>
            <w:r>
              <w:t xml:space="preserve">_Guía: Biometria</w:t>
            </w:r>
          </w:p>
        </w:tc>
      </w:tr>
    </w:tbl>
    <w:bookmarkStart w:id="74" w:name="atención-1"/>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r>
        <w:t xml:space="preserve"> </w:t>
      </w:r>
      <w:r>
        <w:t xml:space="preserve">### Petición</w:t>
      </w:r>
      <w:r>
        <w:t xml:space="preserve"> </w:t>
      </w:r>
      <w:r>
        <w:t xml:space="preserve">_Guía: Los registros de biometria son entregados por el operador biometrico a traves de correo electronico al usuario lider del area</w:t>
      </w:r>
    </w:p>
    <w:bookmarkEnd w:id="74"/>
    <w:bookmarkStart w:id="75" w:name="arquitectura-1"/>
    <w:p>
      <w:pPr>
        <w:pStyle w:val="Ttulo3"/>
      </w:pPr>
      <w:r>
        <w:t xml:space="preserve">Arquitectura</w:t>
      </w:r>
    </w:p>
    <w:p>
      <w:pPr>
        <w:pStyle w:val="FirstParagraph"/>
      </w:pPr>
      <w:r>
        <w:t xml:space="preserve">_Guía: ¿qué pasa después de que el arquitecto, ingeniero, o receptor recibe la petición.</w:t>
      </w:r>
      <w:r>
        <w:t xml:space="preserve"> </w:t>
      </w:r>
      <w:r>
        <w:t xml:space="preserve">al presentar fallas del servicio, se realizar mesa técnica para verificar el estado de los componentes de arquitectura, aplicación , redes, Etc</w:t>
      </w:r>
      <w:r>
        <w:t xml:space="preserve"> </w:t>
      </w:r>
      <w:r>
        <w:t xml:space="preserve">- paso 1 cobis envia un ID al operador biometrico</w:t>
      </w:r>
      <w:r>
        <w:t xml:space="preserve"> </w:t>
      </w:r>
      <w:r>
        <w:t xml:space="preserve">- paso 2 el operador biometrico responde el ID</w:t>
      </w:r>
      <w:r>
        <w:t xml:space="preserve"> </w:t>
      </w:r>
      <w:r>
        <w:t xml:space="preserve">- paso 3 El operador levanta el servicio</w:t>
      </w:r>
      <w:r>
        <w:t xml:space="preserve"> </w:t>
      </w:r>
      <w:r>
        <w:t xml:space="preserve">- paso 4 El aplicativo core envía la petición de biometria</w:t>
      </w:r>
      <w:r>
        <w:t xml:space="preserve"> </w:t>
      </w:r>
      <w:r>
        <w:t xml:space="preserve">- el operador biometrico responde con un hit o no hit (hit que quiere decir que la persona es quien dice ser, no hit no es quien dice ser)</w:t>
      </w:r>
    </w:p>
    <w:p>
      <w:pPr>
        <w:pStyle w:val="Textoindependiente"/>
      </w:pPr>
      <w:r>
        <w:t xml:space="preserve">excepcion de los casos de uso</w:t>
      </w:r>
      <w:r>
        <w:t xml:space="preserve"> </w:t>
      </w:r>
      <w:r>
        <w:t xml:space="preserve">exhaustividad de las pruebas</w:t>
      </w:r>
      <w:r>
        <w:br/>
      </w:r>
      <w:r>
        <w:t xml:space="preserve">la confiabilidad de las pruebas</w:t>
      </w:r>
      <w:r>
        <w:t xml:space="preserve"> </w:t>
      </w:r>
      <w:r>
        <w:t xml:space="preserve">Malla de calidad de las pruebas</w:t>
      </w:r>
    </w:p>
    <w:p>
      <w:pPr>
        <w:pStyle w:val="Textoindependiente"/>
      </w:pPr>
      <w:r>
        <w:t xml:space="preserve">fortalecimiento de diseño</w:t>
      </w:r>
      <w:r>
        <w:t xml:space="preserve"> </w:t>
      </w:r>
      <w:r>
        <w:t xml:space="preserve">categoria: Alta</w:t>
      </w:r>
      <w:r>
        <w:t xml:space="preserve"> </w:t>
      </w:r>
      <w:r>
        <w:t xml:space="preserve">caso de uso: excepciones</w:t>
      </w:r>
    </w:p>
    <w:bookmarkEnd w:id="75"/>
    <w:bookmarkStart w:id="76" w:name="valor-1"/>
    <w:p>
      <w:pPr>
        <w:pStyle w:val="Ttulo3"/>
      </w:pPr>
      <w:r>
        <w:t xml:space="preserve">Valor</w:t>
      </w:r>
    </w:p>
    <w:p>
      <w:pPr>
        <w:pStyle w:val="FirstParagraph"/>
      </w:pPr>
      <w:r>
        <w:t xml:space="preserve">El valor es alto, debido a que afecta al Consumidor financiero en el retiro de las cesantias</w:t>
      </w:r>
    </w:p>
    <w:bookmarkEnd w:id="76"/>
    <w:bookmarkStart w:id="77" w:name="seguimiento-1"/>
    <w:p>
      <w:pPr>
        <w:pStyle w:val="Ttulo3"/>
      </w:pPr>
      <w:r>
        <w:t xml:space="preserve">Seguimiento</w:t>
      </w:r>
    </w:p>
    <w:p>
      <w:pPr>
        <w:pStyle w:val="FirstParagraph"/>
      </w:pPr>
      <w:r>
        <w:t xml:space="preserve">El seguimiento se realiza diariamente con la conciliacion aplicada por el area usuaria</w:t>
      </w:r>
    </w:p>
    <w:bookmarkEnd w:id="77"/>
    <w:bookmarkStart w:id="78" w:name="entrega-1"/>
    <w:p>
      <w:pPr>
        <w:pStyle w:val="Ttulo3"/>
      </w:pPr>
      <w:r>
        <w:t xml:space="preserve">Entrega</w:t>
      </w:r>
    </w:p>
    <w:p>
      <w:pPr>
        <w:pStyle w:val="FirstParagraph"/>
      </w:pPr>
      <w:r>
        <w:t xml:space="preserve">el resultado del trabajo será, la implementacion de herramientas de gobierno que permitan el fortalecimiento en el diseño para la aplicacion</w:t>
      </w:r>
    </w:p>
    <w:bookmarkEnd w:id="78"/>
    <w:bookmarkStart w:id="79" w:name="repetición-1"/>
    <w:p>
      <w:pPr>
        <w:pStyle w:val="Ttulo3"/>
      </w:pPr>
      <w:r>
        <w:t xml:space="preserve">Repetición</w:t>
      </w:r>
    </w:p>
    <w:p>
      <w:pPr>
        <w:pStyle w:val="FirstParagraph"/>
      </w:pPr>
      <w:r>
        <w:t xml:space="preserve">_Guía: Implementar un buen diseño en la aplicacion y malla de calidad en la pruebas</w:t>
      </w:r>
    </w:p>
    <w:bookmarkEnd w:id="79"/>
    <w:bookmarkEnd w:id="80"/>
    <w:bookmarkStart w:id="82" w:name="referencias"/>
    <w:p>
      <w:pPr>
        <w:pStyle w:val="Ttulo2"/>
      </w:pPr>
      <w:r>
        <w:t xml:space="preserve">Referencias</w:t>
      </w:r>
    </w:p>
    <w:bookmarkStart w:id="81" w:name="refs"/>
    <w:bookmarkEnd w:id="81"/>
    <w:bookmarkEnd w:id="82"/>
    <w:bookmarkEnd w:id="8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7" Target="media/rId37.jpg" /><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004348239d1c183a8aed833077f47d2102db734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04348239d1c183a8aed833077f47d2102db734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1" Target="https://github.com/hwong23/fna-dd-f2-pry1/tree/004348239d1c183a8aed833077f47d2102db734f"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004348239d1c183a8aed833077f47d2102db734f/"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Hoja de Ruta E-Service PRY01 Gobierno SOA FNA</dc:title>
  <dc:creator/>
  <dc:language>en-US</dc:language>
  <cp:keywords>SOA, madurez, gobierno, FNA</cp:keywords>
  <dcterms:created xsi:type="dcterms:W3CDTF">2023-06-02T05:42:33Z</dcterms:created>
  <dcterms:modified xsi:type="dcterms:W3CDTF">2023-06-02T05:42:33Z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