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hwong23/fna-dd-f2-pry1@07a6f6d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Mayo, 2023</w:t>
      </w:r>
    </w:p>
    <w:p>
      <w:pPr>
        <w:pStyle w:val="Textoindependiente"/>
      </w:pPr>
      <w:r>
        <w:t xml:space="preserve">Version 07a6f6d del 30 May 2023</w:t>
      </w:r>
    </w:p>
    <w:p>
      <w:pPr>
        <w:pStyle w:val="Textoindependiente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07a6f6d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40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5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1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7a6f6de44d32abe0e5f9aa66427055e14aef68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7a6f6de44d32abe0e5f9aa66427055e14aef68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7a6f6de44d32abe0e5f9aa66427055e14aef68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7a6f6de44d32abe0e5f9aa66427055e14aef687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2023-05-30T15:45:46Z</dcterms:created>
  <dcterms:modified xsi:type="dcterms:W3CDTF">2023-05-30T15:45:46Z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