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STEF@0c73c99</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1.0c73c99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1.0c73c99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1.0c73c99</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1.0c73c99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1.0c73c99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8d9a9a30-a92d-4189-ba92-d3156db9cbb4"/>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ace426a3-2e54-4d84-8f88-38573256dd5b"/>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1.0c73c99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fórmulas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consideraciones de mejora.</w:t>
      </w:r>
    </w:p>
    <w:p>
      <w:pPr>
        <w:pStyle w:val="FirstParagraph"/>
      </w:pPr>
      <w:r>
        <w:rPr>
          <w:bCs/>
          <w:b/>
        </w:rPr>
        <w:t xml:space="preserve">Nota</w:t>
      </w:r>
      <w:r>
        <w:t xml:space="preserve">: para más información del uso y apropiación de la herramienta Flujo Crítico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21f1e128-4092-46c1-a61a-a0387814e406"/>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Biometría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cesantías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biometría son entregados por el operador biométrico a través de correo electrónico al usuario líder del área.</w:t>
      </w:r>
    </w:p>
    <w:bookmarkEnd w:id="69"/>
    <w:bookmarkStart w:id="70" w:name="arquitectura"/>
    <w:p>
      <w:pPr>
        <w:pStyle w:val="Ttulo3"/>
      </w:pPr>
      <w:r>
        <w:t xml:space="preserve">Arquitectura</w:t>
      </w:r>
    </w:p>
    <w:p>
      <w:pPr>
        <w:numPr>
          <w:ilvl w:val="0"/>
          <w:numId w:val="1009"/>
        </w:numPr>
        <w:pStyle w:val="Compact"/>
      </w:pPr>
      <w:r>
        <w:t xml:space="preserve">COBIS envía un ID al operador biométrico</w:t>
      </w:r>
    </w:p>
    <w:p>
      <w:pPr>
        <w:numPr>
          <w:ilvl w:val="0"/>
          <w:numId w:val="1009"/>
        </w:numPr>
        <w:pStyle w:val="Compact"/>
      </w:pPr>
      <w:r>
        <w:t xml:space="preserve">El operador biométrico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biometría</w:t>
      </w:r>
    </w:p>
    <w:p>
      <w:pPr>
        <w:numPr>
          <w:ilvl w:val="0"/>
          <w:numId w:val="1009"/>
        </w:numPr>
        <w:pStyle w:val="Compact"/>
      </w:pPr>
      <w:r>
        <w:t xml:space="preserve">El operador biométrico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cesantías.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implementación de herramientas de gobierno que permitan el fortalecimiento en el diseño para la aplicación.</w:t>
      </w:r>
    </w:p>
    <w:bookmarkEnd w:id="73"/>
    <w:bookmarkStart w:id="74" w:name="repetición"/>
    <w:p>
      <w:pPr>
        <w:pStyle w:val="Ttulo3"/>
      </w:pPr>
      <w:r>
        <w:t xml:space="preserve">Repetición</w:t>
      </w:r>
    </w:p>
    <w:p>
      <w:pPr>
        <w:pStyle w:val="FirstParagraph"/>
      </w:pPr>
      <w:r>
        <w:t xml:space="preserve">Implementar un buen diseño en la aplicación y malla de calidad en las pruebas.</w:t>
      </w:r>
    </w:p>
    <w:bookmarkEnd w:id="74"/>
    <w:bookmarkStart w:id="79" w:name="anexo.-diagrama-del-flujo"/>
    <w:p>
      <w:pPr>
        <w:pStyle w:val="Ttulo3"/>
      </w:pPr>
      <w:r>
        <w:t xml:space="preserve">Anexo. Diagrama del flujo</w:t>
      </w:r>
    </w:p>
    <w:bookmarkStart w:id="0" w:name="fig:7e9c1126-fe82-46b9-a9c5-821483d83438"/>
    <w:p>
      <w:pPr>
        <w:pStyle w:val="CaptionedFigure"/>
      </w:pPr>
      <w:bookmarkStart w:id="78" w:name="fig:"/>
      <w:r>
        <w:drawing>
          <wp:inline>
            <wp:extent cx="5600700" cy="2725436"/>
            <wp:effectExtent b="0" l="0" r="0" t="0"/>
            <wp:docPr descr="Imagen 5: Flujo de trabajo crítico, aprobación de cesan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cesantía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contempla la cantidad de escenarios, caminos alternos, y excepciones que le den al caso el nivel de exhaustividad que la complejidad de la aprobación que las cesantías demandan.</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las coincidencias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solicitante y la del autenticador, para luego facilitarle al primero la conciliación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actividades/responsabilidades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las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planeación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contratación, y radicar la solicitud a contratación. Registro en SECOP(2) el proceso público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solución en producción FNA</w:t>
      </w:r>
    </w:p>
    <w:p>
      <w:pPr>
        <w:numPr>
          <w:ilvl w:val="0"/>
          <w:numId w:val="1011"/>
        </w:numPr>
        <w:pStyle w:val="Compact"/>
      </w:pPr>
      <w:r>
        <w:t xml:space="preserve">Entrega la operación al grupo de soporte para gestión del día a día</w:t>
      </w:r>
    </w:p>
    <w:p>
      <w:pPr>
        <w:numPr>
          <w:ilvl w:val="0"/>
          <w:numId w:val="1011"/>
        </w:numPr>
        <w:pStyle w:val="Compact"/>
      </w:pPr>
      <w:r>
        <w:t xml:space="preserve">Cada fábrica tiene dos grupos: uno de soporte y mantenimiento para gestión de incidencias, y otro para desarrollo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solución en producción es entregada en operación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98338e4e-0152-4d09-903b-5a92289d27ca"/>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c73c99a17a0e3f7c4cfe801cff960213a84f4a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c73c99a17a0e3f7c4cfe801cff960213a84f4a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2023-07-21T21:52:49Z</dcterms:created>
  <dcterms:modified xsi:type="dcterms:W3CDTF">2023-07-21T21:52:49Z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