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STEF@12ef20a</w:t>
        </w:r>
      </w:hyperlink>
      <w:r>
        <w:t xml:space="preserve"> </w:t>
      </w:r>
      <w:r>
        <w:t xml:space="preserve">del July 21, 2023.</w:t>
      </w:r>
      <w:r>
        <w:t xml:space="preserve"> </w:t>
      </w:r>
    </w:p>
    <w:p>
      <w:pPr>
        <w:pStyle w:val="Textoindependiente"/>
      </w:pPr>
      <w:r>
        <w:t xml:space="preserve">   </w:t>
      </w:r>
      <w:r>
        <w:rPr>
          <w:bCs/>
          <w:b/>
        </w:rPr>
        <w:t xml:space="preserve">Versión</w:t>
      </w:r>
      <w:r>
        <w:t xml:space="preserve"> </w:t>
      </w:r>
      <w:r>
        <w:t xml:space="preserve">del producto 1.12ef20a del 21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1.12ef20a del 21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1.12ef20a</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1.12ef20a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1.12ef20a del 21 Jul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a90e86bf-ddde-4113-8547-344992f7898b"/>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90eddff6-3f68-4aa1-8af1-008272e5e2c3"/>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Versión</w:t>
            </w:r>
          </w:p>
        </w:tc>
        <w:tc>
          <w:tcPr/>
          <w:p>
            <w:pPr>
              <w:pStyle w:val="Compact"/>
              <w:jc w:val="left"/>
            </w:pPr>
            <w:r>
              <w:t xml:space="preserve">1.12ef20a del 21 Jul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r>
              <w:t xml:space="preserve"> </w:t>
            </w:r>
            <w:hyperlink r:id="rId34">
              <w:r>
                <w:rPr>
                  <w:rStyle w:val="Hipervnculo"/>
                </w:rPr>
                <w:t xml:space="preserve">N003a. Procesos de Negocio FNA</w:t>
              </w:r>
            </w:hyperlink>
          </w:p>
        </w:tc>
      </w:tr>
    </w:tbl>
    <w:p>
      <w:pPr>
        <w:pStyle w:val="Textoindependiente"/>
      </w:pPr>
    </w:p>
    <w:bookmarkEnd w:id="60"/>
    <w:bookmarkEnd w:id="61"/>
    <w:bookmarkStart w:id="99" w:name="X1fdd0a35b227ad61fc07790ee356b5036d6a9a1"/>
    <w:p>
      <w:pPr>
        <w:pStyle w:val="Ttulo1"/>
      </w:pPr>
      <w:r>
        <w:t xml:space="preserve">Flujos Críticos Susceptibles de Gobierno FNA</w:t>
      </w:r>
    </w:p>
    <w:p>
      <w:pPr>
        <w:pStyle w:val="FirstParagraph"/>
      </w:pPr>
      <w:r>
        <w:t xml:space="preserve">Los flujos críticos proporcionan dos tipos de información valiosa: la manera en que funcionan las cosas dentro del FNA, y qué las causas y debilidades de estas. Además, de esta información, sirven de insumo para la deducción (método deductivo) de ex ante de fórmulas y prácticas de gobierno SOA del FNA, objeto de este proyecto.</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consideraciones de mejora.</w:t>
      </w:r>
    </w:p>
    <w:p>
      <w:pPr>
        <w:pStyle w:val="FirstParagraph"/>
      </w:pPr>
      <w:r>
        <w:rPr>
          <w:bCs/>
          <w:b/>
        </w:rPr>
        <w:t xml:space="preserve">Nota</w:t>
      </w:r>
      <w:r>
        <w:t xml:space="preserve">: para más información del uso y apropiación de la herramienta Flujo Crítico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0059ca62-932e-49c3-aa47-b83089ec153f"/>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2e63127f-20aa-482a-a090-1d6a20aacb17"/>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5"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10"/>
        </w:numPr>
        <w:pStyle w:val="Compact"/>
      </w:pPr>
      <w:r>
        <w:t xml:space="preserve">Debilidad en la completitud de los CU</w:t>
      </w:r>
    </w:p>
    <w:p>
      <w:pPr>
        <w:numPr>
          <w:ilvl w:val="0"/>
          <w:numId w:val="1010"/>
        </w:numPr>
        <w:pStyle w:val="Compact"/>
      </w:pPr>
      <w:r>
        <w:t xml:space="preserve">Herramientas y métodos de QA relacionados con sistemas distribuidos y QA​</w:t>
      </w:r>
    </w:p>
    <w:p>
      <w:pPr>
        <w:numPr>
          <w:ilvl w:val="0"/>
          <w:numId w:val="1010"/>
        </w:numPr>
        <w:pStyle w:val="Compact"/>
      </w:pPr>
      <w:r>
        <w:t xml:space="preserve">Normalización y fortalecimiento de los ambientes QA ​</w:t>
      </w:r>
    </w:p>
    <w:p>
      <w:pPr>
        <w:numPr>
          <w:ilvl w:val="0"/>
          <w:numId w:val="1010"/>
        </w:numPr>
        <w:pStyle w:val="Compact"/>
      </w:pPr>
      <w:r>
        <w:t xml:space="preserve">Gestión del diseño y arquitecturas: categorización de complejidad​</w:t>
      </w:r>
    </w:p>
    <w:p>
      <w:pPr>
        <w:numPr>
          <w:ilvl w:val="0"/>
          <w:numId w:val="1010"/>
        </w:numPr>
        <w:pStyle w:val="Compact"/>
      </w:pPr>
      <w:r>
        <w:t xml:space="preserve">Correspondencia complejidad - diseño</w:t>
      </w:r>
    </w:p>
    <w:p>
      <w:pPr>
        <w:pStyle w:val="FirstParagraph"/>
      </w:pP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4"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83"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83"/>
    <w:bookmarkEnd w:id="0"/>
    <w:p>
      <w:pPr>
        <w:pStyle w:val="Textoindependiente"/>
      </w:pPr>
    </w:p>
    <w:bookmarkEnd w:id="84"/>
    <w:bookmarkEnd w:id="85"/>
    <w:bookmarkStart w:id="93"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6"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6"/>
    <w:bookmarkStart w:id="87"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7"/>
    <w:bookmarkStart w:id="88" w:name="arquitectura-1"/>
    <w:p>
      <w:pPr>
        <w:pStyle w:val="Ttulo3"/>
      </w:pPr>
      <w:r>
        <w:t xml:space="preserve">Arquitectura</w:t>
      </w:r>
    </w:p>
    <w:p>
      <w:pPr>
        <w:numPr>
          <w:ilvl w:val="0"/>
          <w:numId w:val="1011"/>
        </w:numPr>
        <w:pStyle w:val="Compact"/>
      </w:pPr>
      <w:r>
        <w:t xml:space="preserve">Implementa la solucion en producción FNA</w:t>
      </w:r>
    </w:p>
    <w:p>
      <w:pPr>
        <w:numPr>
          <w:ilvl w:val="0"/>
          <w:numId w:val="1011"/>
        </w:numPr>
        <w:pStyle w:val="Compact"/>
      </w:pPr>
      <w:r>
        <w:t xml:space="preserve">Entrega la operacion al grupo de soporte para gestion del día a día</w:t>
      </w:r>
    </w:p>
    <w:p>
      <w:pPr>
        <w:numPr>
          <w:ilvl w:val="0"/>
          <w:numId w:val="1011"/>
        </w:numPr>
        <w:pStyle w:val="Compact"/>
      </w:pPr>
      <w:r>
        <w:t xml:space="preserve">Cada fábrica tiene dos grupos: uno de soporte y mantenimiento para gestión de incidencias, y otro para desarollo y nuevas funcionalidades</w:t>
      </w:r>
      <w:r>
        <w:t xml:space="preserve"> </w:t>
      </w:r>
      <w:r>
        <w:t xml:space="preserve"> </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r>
        <w:t xml:space="preserve"> </w:t>
      </w:r>
      <w:r>
        <w:t xml:space="preserve"> </w:t>
      </w:r>
    </w:p>
    <w:bookmarkEnd w:id="88"/>
    <w:bookmarkStart w:id="89"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90"/>
    <w:bookmarkStart w:id="91"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1"/>
    <w:bookmarkStart w:id="92" w:name="repetición-1"/>
    <w:p>
      <w:pPr>
        <w:pStyle w:val="Ttulo3"/>
      </w:pPr>
      <w:r>
        <w:t xml:space="preserve">Repetición</w:t>
      </w:r>
    </w:p>
    <w:p>
      <w:pPr>
        <w:pStyle w:val="FirstParagraph"/>
      </w:pPr>
      <w:r>
        <w:t xml:space="preserve">El flujo es repetible en virtud de la Ley 80.</w:t>
      </w:r>
    </w:p>
    <w:bookmarkEnd w:id="92"/>
    <w:bookmarkEnd w:id="93"/>
    <w:bookmarkStart w:id="98"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12"/>
        </w:numPr>
        <w:pStyle w:val="Compact"/>
      </w:pPr>
      <w:r>
        <w:t xml:space="preserve">Débil (o inexistente</w:t>
      </w:r>
      <w:r>
        <w:rPr>
          <w:rStyle w:val="Refdenotaalpie"/>
        </w:rPr>
        <w:footnoteReference w:id="94"/>
      </w:r>
      <w:r>
        <w:t xml:space="preserve">) procedimiento de evaluación de inversión​</w:t>
      </w:r>
    </w:p>
    <w:p>
      <w:pPr>
        <w:numPr>
          <w:ilvl w:val="0"/>
          <w:numId w:val="1012"/>
        </w:numPr>
        <w:pStyle w:val="Compact"/>
      </w:pPr>
      <w:r>
        <w:t xml:space="preserve">Débil (o inexistente) formalidad para el cálculo de eficacia un inversión​ TI, proveedores</w:t>
      </w:r>
    </w:p>
    <w:p>
      <w:pPr>
        <w:numPr>
          <w:ilvl w:val="0"/>
          <w:numId w:val="1012"/>
        </w:numPr>
        <w:pStyle w:val="Compact"/>
      </w:pPr>
      <w:r>
        <w:t xml:space="preserve">Normnalizar registro de resultados de las entregas de proveedores​ (confiabilidad)</w:t>
      </w:r>
    </w:p>
    <w:p>
      <w:pPr>
        <w:numPr>
          <w:ilvl w:val="0"/>
          <w:numId w:val="1012"/>
        </w:numPr>
        <w:pStyle w:val="Compact"/>
      </w:pPr>
      <w:r>
        <w:t xml:space="preserve">Asignación de responsables de gestión de las inversiones de TI</w:t>
      </w:r>
    </w:p>
    <w:p>
      <w:pPr>
        <w:pStyle w:val="FirstParagraph"/>
      </w:pPr>
    </w:p>
    <w:bookmarkStart w:id="95" w:name="X76c53ba5acdb7d7c1ffa7966951a99c4353e4f3"/>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95"/>
    <w:bookmarkStart w:id="97" w:name="asignación-de-arquitectura-1"/>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4cf84aec-4854-4f85-aa0f-3a92ea5759a7"/>
    <w:bookmarkStart w:id="96" w:name="tbl:"/>
    <w:p>
      <w:pPr>
        <w:pStyle w:val="TableCaption"/>
      </w:pPr>
      <w:r>
        <w:t xml:space="preserve">Tabla 2: Tabla de asignación del flujo 01, Aprobación de Cesantías FNA.</w:t>
      </w:r>
      <w:r>
        <w:t xml:space="preserve"> </w:t>
      </w:r>
    </w:p>
    <w:tbl>
      <w:tblPr>
        <w:tblStyle w:val="Table"/>
        <w:tblW w:type="pct" w:w="5000"/>
        <w:tblLook w:firstRow="1" w:lastRow="0" w:firstColumn="0" w:lastColumn="0" w:noHBand="0" w:noVBand="0" w:val="0020"/>
        <w:tblCaption w:val="Tabla 2: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96"/>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p>
      <w:r>
        <w:pict>
          <v:rect style="width:0;height:1.5pt" o:hralign="center" o:hrstd="t" o:hr="t"/>
        </w:pict>
      </w:r>
    </w:p>
    <w:bookmarkEnd w:id="97"/>
    <w:bookmarkEnd w:id="98"/>
    <w:bookmarkEnd w:id="99"/>
    <w:bookmarkStart w:id="118" w:name="anexos-del-producto-1-pr01"/>
    <w:p>
      <w:pPr>
        <w:pStyle w:val="Ttulo1"/>
      </w:pPr>
      <w:r>
        <w:t xml:space="preserve">Anexos del Producto 1 (PR01)</w:t>
      </w:r>
    </w:p>
    <w:bookmarkStart w:id="103" w:name="vista-de-segmento-del-proyecto"/>
    <w:p>
      <w:pPr>
        <w:pStyle w:val="Ttulo2"/>
      </w:pPr>
      <w:r>
        <w:t xml:space="preserve">1. Vista de Segmento del Proyecto</w:t>
      </w:r>
    </w:p>
    <w:p>
      <w:pPr>
        <w:pStyle w:val="Figure"/>
      </w:pPr>
      <w:r>
        <w:drawing>
          <wp:inline>
            <wp:extent cx="5600700" cy="6506407"/>
            <wp:effectExtent b="0" l="0" r="0" t="0"/>
            <wp:docPr descr="" title="" id="100" name="Picture"/>
            <a:graphic>
              <a:graphicData uri="http://schemas.openxmlformats.org/drawingml/2006/picture">
                <pic:pic>
                  <pic:nvPicPr>
                    <pic:cNvPr descr="images/segmentoFNAfaseII.jpg" id="10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102">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103"/>
    <w:bookmarkStart w:id="104"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104"/>
    <w:bookmarkStart w:id="105"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5"/>
    <w:bookmarkStart w:id="113"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6"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6"/>
    <w:bookmarkStart w:id="107"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7"/>
    <w:bookmarkStart w:id="108"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3"/>
        </w:numPr>
        <w:pStyle w:val="Compact"/>
      </w:pPr>
      <w:r>
        <w:t xml:space="preserve">paso 1</w:t>
      </w:r>
    </w:p>
    <w:p>
      <w:pPr>
        <w:numPr>
          <w:ilvl w:val="0"/>
          <w:numId w:val="1013"/>
        </w:numPr>
        <w:pStyle w:val="Compact"/>
      </w:pPr>
      <w:r>
        <w:t xml:space="preserve">paso 2</w:t>
      </w:r>
      <w:r>
        <w:br/>
      </w:r>
    </w:p>
    <w:bookmarkEnd w:id="108"/>
    <w:bookmarkStart w:id="109" w:name="valor-2"/>
    <w:p>
      <w:pPr>
        <w:pStyle w:val="Ttulo3"/>
      </w:pPr>
      <w:r>
        <w:t xml:space="preserve">Valor</w:t>
      </w:r>
    </w:p>
    <w:p>
      <w:pPr>
        <w:pStyle w:val="FirstParagraph"/>
      </w:pPr>
      <w:r>
        <w:rPr>
          <w:iCs/>
          <w:i/>
        </w:rPr>
        <w:t xml:space="preserve">Guía: cuál es el valor que este flujo genera para el FNA.</w:t>
      </w:r>
    </w:p>
    <w:bookmarkEnd w:id="109"/>
    <w:bookmarkStart w:id="110"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10"/>
    <w:bookmarkStart w:id="111"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11"/>
    <w:bookmarkStart w:id="112"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12"/>
    <w:bookmarkEnd w:id="113"/>
    <w:bookmarkStart w:id="117" w:name="referencias"/>
    <w:p>
      <w:pPr>
        <w:pStyle w:val="Ttulo2"/>
      </w:pPr>
      <w:r>
        <w:t xml:space="preserve">Referencias</w:t>
      </w:r>
    </w:p>
    <w:bookmarkStart w:id="114" w:name="refs"/>
    <w:p>
      <w:pPr>
        <w:pStyle w:val="Bibliography"/>
      </w:pPr>
      <w:r>
        <w:t xml:space="preserve">E-Service. Situación SOA Actual del FNA. Etapa I. (2022).</w:t>
      </w:r>
    </w:p>
    <w:bookmarkEnd w:id="114"/>
    <w:bookmarkStart w:id="115" w:name="refs"/>
    <w:p>
      <w:pPr>
        <w:pStyle w:val="Bibliography"/>
      </w:pPr>
      <w:r>
        <w:t xml:space="preserve">E-Service. Arquitectura de Referencia del FNA. Etapa II. (2023).</w:t>
      </w:r>
    </w:p>
    <w:bookmarkEnd w:id="115"/>
    <w:bookmarkStart w:id="116" w:name="refs"/>
    <w:p>
      <w:pPr>
        <w:pStyle w:val="Bibliography"/>
      </w:pPr>
      <w:r>
        <w:t xml:space="preserve">E-Service. Hoja de Ruta e Iniciativas. Etapa III. (2023).</w:t>
      </w:r>
    </w:p>
    <w:bookmarkEnd w:id="116"/>
    <w:bookmarkEnd w:id="117"/>
    <w:bookmarkEnd w:id="11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 los contrarios a procedimientos sistemáticos.</w:t>
      </w:r>
    </w:p>
  </w:footnote>
  <w:footnote w:id="94">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2ef20acf27e5761bb9dda922d861116ce152c8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102"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12ef20acf27e5761bb9dda922d861116ce152c8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2023-07-21T17:09:36Z</dcterms:created>
  <dcterms:modified xsi:type="dcterms:W3CDTF">2023-07-21T17:09:36Z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