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hwong23/fna-dd-f2-pry1@34c06f3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34c06f3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p>
      <w:pPr>
        <w:pStyle w:val="FirstParagraph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FNA, Stefanini</w:t>
      </w:r>
      <w:r>
        <w:t xml:space="preserve"> </w:t>
      </w:r>
      <w:r>
        <w:t xml:space="preserve">% Version 34c06f3 del 31 May 2023</w:t>
      </w:r>
    </w:p>
    <w:p>
      <w:pPr>
        <w:pStyle w:val="Textoindependiente"/>
      </w:pPr>
    </w:p>
    <w:bookmarkEnd w:id="30"/>
    <w:bookmarkStart w:id="42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38"/>
    <w:bookmarkEnd w:id="39"/>
    <w:bookmarkStart w:id="4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4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41"/>
    <w:bookmarkEnd w:id="42"/>
    <w:bookmarkStart w:id="43" w:name="e-service.-fase-ii.-pry01-gobierno-soa"/>
    <w:p>
      <w:pPr>
        <w:pStyle w:val="Ttulo1"/>
      </w:pPr>
      <w:r>
        <w:t xml:space="preserve">E-Service. Fase II. PRY01 Gobierno SOA</w:t>
      </w:r>
    </w:p>
    <w:bookmarkEnd w:id="43"/>
    <w:bookmarkStart w:id="44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4"/>
    <w:bookmarkStart w:id="48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5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5"/>
    <w:bookmarkStart w:id="46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46"/>
    <w:bookmarkStart w:id="47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66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9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9"/>
    <w:bookmarkStart w:id="53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50" w:name="flujos-críticos-de-trabajo"/>
    <w:p>
      <w:pPr>
        <w:pStyle w:val="Ttulo3"/>
      </w:pPr>
      <w:r>
        <w:t xml:space="preserve">Flujos Críticos de Trabajo</w:t>
      </w:r>
    </w:p>
    <w:bookmarkEnd w:id="50"/>
    <w:bookmarkStart w:id="51" w:name="gestión-del-riesgo-técnico"/>
    <w:p>
      <w:pPr>
        <w:pStyle w:val="Ttulo3"/>
      </w:pPr>
      <w:r>
        <w:t xml:space="preserve">Gestión del Riesgo Técnico</w:t>
      </w:r>
    </w:p>
    <w:bookmarkEnd w:id="51"/>
    <w:bookmarkStart w:id="52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2"/>
    <w:bookmarkEnd w:id="53"/>
    <w:bookmarkStart w:id="61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4"/>
    <w:bookmarkStart w:id="55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5"/>
    <w:bookmarkStart w:id="56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6"/>
    <w:bookmarkStart w:id="57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7"/>
    <w:bookmarkStart w:id="58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8"/>
    <w:bookmarkStart w:id="59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9"/>
    <w:bookmarkStart w:id="60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60"/>
    <w:bookmarkEnd w:id="61"/>
    <w:bookmarkStart w:id="62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2"/>
    <w:bookmarkStart w:id="63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3"/>
    <w:bookmarkStart w:id="65" w:name="referencias"/>
    <w:p>
      <w:pPr>
        <w:pStyle w:val="Ttulo2"/>
      </w:pPr>
      <w:r>
        <w:t xml:space="preserve">Referencias</w:t>
      </w:r>
    </w:p>
    <w:bookmarkStart w:id="64" w:name="refs"/>
    <w:bookmarkEnd w:id="64"/>
    <w:bookmarkEnd w:id="65"/>
    <w:bookmarkEnd w:id="6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40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34c06f3474c74c4e70c6a7b9915f03b3e67d44ee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34c06f3474c74c4e70c6a7b9915f03b3e67d44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34c06f3474c74c4e70c6a7b9915f03b3e67d44ee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34c06f3474c74c4e70c6a7b9915f03b3e67d44ee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2023-05-31T17:16:13Z</dcterms:created>
  <dcterms:modified xsi:type="dcterms:W3CDTF">2023-05-31T17:16:13Z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