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hwong23/fna-dd-f2-pry1@38566b8</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38566b8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38566b8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38566b8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2"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0"/>
    <w:bookmarkEnd w:id="51"/>
    <w:bookmarkEnd w:id="52"/>
    <w:bookmarkStart w:id="53" w:name="e-service.-fase-ii.-pry01-gobierno-soa"/>
    <w:p>
      <w:pPr>
        <w:pStyle w:val="Ttulo1"/>
      </w:pPr>
      <w:r>
        <w:t xml:space="preserve">E-Service. Fase II. PRY01 Gobierno SOA</w:t>
      </w:r>
    </w:p>
    <w:bookmarkEnd w:id="53"/>
    <w:bookmarkStart w:id="54" w:name="Xe92f3a0c872b25ee85757beaa64c98c44252204"/>
    <w:p>
      <w:pPr>
        <w:pStyle w:val="Ttulo1"/>
      </w:pPr>
      <w:r>
        <w:t xml:space="preserve">Contenido de los Productos Contractuales, (#contrato 181-2020)</w:t>
      </w:r>
    </w:p>
    <w:bookmarkEnd w:id="54"/>
    <w:bookmarkStart w:id="58"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7"/>
    <w:bookmarkEnd w:id="58"/>
    <w:bookmarkStart w:id="7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End w:id="72"/>
    <w:bookmarkStart w:id="76" w:name="anexos-generales"/>
    <w:p>
      <w:pPr>
        <w:pStyle w:val="Ttulo1"/>
      </w:pPr>
      <w:r>
        <w:t xml:space="preserve">Anexos Generales</w:t>
      </w:r>
    </w:p>
    <w:bookmarkStart w:id="73"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38566b8f22f6c4522e6806451fdc9b3e687a409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8566b8f22f6c4522e6806451fdc9b3e687a4092/"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38566b8f22f6c4522e6806451fdc9b3e687a409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8566b8f22f6c4522e6806451fdc9b3e687a4092/"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2023-06-01T18:18:56Z</dcterms:created>
  <dcterms:modified xsi:type="dcterms:W3CDTF">2023-06-01T18:18:56Z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