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7.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Hoja</w:t>
      </w:r>
      <w:r>
        <w:t xml:space="preserve"> </w:t>
      </w:r>
      <w:r>
        <w:t xml:space="preserve">de</w:t>
      </w:r>
      <w:r>
        <w:t xml:space="preserve"> </w:t>
      </w:r>
      <w:r>
        <w:t xml:space="preserve">Ruta</w:t>
      </w:r>
      <w:r>
        <w:t xml:space="preserve"> </w:t>
      </w:r>
      <w:r>
        <w:t xml:space="preserve">E-Service</w:t>
      </w:r>
      <w:r>
        <w:t xml:space="preserve"> </w:t>
      </w:r>
      <w:r>
        <w:t xml:space="preserve">PRY01</w:t>
      </w:r>
      <w:r>
        <w:t xml:space="preserve"> </w:t>
      </w:r>
      <w:r>
        <w:t xml:space="preserve">Gobierno</w:t>
      </w:r>
      <w:r>
        <w:t xml:space="preserve"> </w:t>
      </w:r>
      <w:r>
        <w:t xml:space="preserve">SOA</w:t>
      </w:r>
      <w:r>
        <w:t xml:space="preserve"> </w:t>
      </w:r>
      <w:r>
        <w:t xml:space="preserve">FNA</w:t>
      </w:r>
    </w:p>
    <w:p>
      <w:pPr>
        <w:pStyle w:val="FirstParagraph"/>
      </w:pPr>
      <w:r>
        <w:t xml:space="preserve">Este producto PR01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hwong23/fna-dd-f2-pry1@53563ff</w:t>
        </w:r>
      </w:hyperlink>
      <w:r>
        <w:t xml:space="preserve"> </w:t>
      </w:r>
      <w:r>
        <w:t xml:space="preserve">del June 1, 2023.</w:t>
      </w:r>
      <w:r>
        <w:t xml:space="preserve"> </w:t>
      </w:r>
    </w:p>
    <w:p>
      <w:pPr>
        <w:pStyle w:val="Textoindependiente"/>
      </w:pPr>
      <w:r>
        <w:t xml:space="preserve">   </w:t>
      </w:r>
      <w:r>
        <w:rPr>
          <w:bCs/>
          <w:b/>
        </w:rPr>
        <w:t xml:space="preserve">Version</w:t>
      </w:r>
      <w:r>
        <w:t xml:space="preserve"> </w:t>
      </w:r>
      <w:r>
        <w:t xml:space="preserve">del producto 53563ff del 01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GitHub icon</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GitHub icon</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GitHub icon</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GitHub icon</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1 (PR01) del proyecto Gobierno SOA: Lista de las partes de la arquitectura actual del FNA relacionados con el Gobierno SOA, objeto del proyecto.</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Hoja de ruta de los proyectos de cierre de brecha E-Service</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53563ff del 01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FirstParagraph"/>
      </w:pPr>
      <w:r>
        <w:t xml:space="preserve">E-Service. Fase II. PRY01 Gobierno SOA. Contenido de los Productos Contractuales. Contrato 1812020</w:t>
      </w:r>
    </w:p>
    <w:p>
      <w:pPr>
        <w:pStyle w:val="Textoindependiente"/>
      </w:pPr>
      <w:r>
        <w:t xml:space="preserve">FNA, Stefanini</w:t>
      </w:r>
    </w:p>
    <w:p>
      <w:pPr>
        <w:pStyle w:val="Textoindependiente"/>
      </w:pPr>
      <w:r>
        <w:rPr>
          <w:bCs/>
          <w:b/>
        </w:rPr>
        <w:t xml:space="preserve">Version</w:t>
      </w:r>
      <w:r>
        <w:t xml:space="preserve"> </w:t>
      </w:r>
      <w:r>
        <w:t xml:space="preserve">53563ff del 01 Jun 2023</w:t>
      </w:r>
    </w:p>
    <w:p>
      <w:pPr>
        <w:pStyle w:val="Textoindependiente"/>
      </w:pPr>
    </w:p>
    <w:bookmarkEnd w:id="30"/>
    <w:bookmarkStart w:id="36" w:name="X3a1264f05dd3cc9ee2158cf93d82fdfd57259e5"/>
    <w:p>
      <w:pPr>
        <w:pStyle w:val="Ttulo1"/>
      </w:pPr>
      <w:r>
        <w:t xml:space="preserve">Producto 1: PR01. Detalle de los ítems de arquitectura impactados por el proyecto</w:t>
      </w:r>
    </w:p>
    <w:p>
      <w:pPr>
        <w:pStyle w:val="FirstParagraph"/>
      </w:pPr>
      <w:r>
        <w:t xml:space="preserve">Lista de las partes de la arquitectura actual del FNA relacionados con el Gobierno SOA, objeto del proyecto.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Facilitar la aprobación de los contenidos de los entregables del proyecto PRY01, Gobierno SOA, en su Etapa 0, tal que garantice la continuidad y ejecución de la etapa</w:t>
      </w:r>
    </w:p>
    <w:bookmarkEnd w:id="31"/>
    <w:bookmarkStart w:id="32" w:name="contenidos"/>
    <w:p>
      <w:pPr>
        <w:pStyle w:val="Ttulo2"/>
      </w:pPr>
      <w:r>
        <w:t xml:space="preserve">Contenidos</w:t>
      </w:r>
    </w:p>
    <w:p>
      <w:pPr>
        <w:numPr>
          <w:ilvl w:val="0"/>
          <w:numId w:val="1002"/>
        </w:numPr>
        <w:pStyle w:val="Compact"/>
      </w:pPr>
      <w:r>
        <w:t xml:space="preserve">Vista de segmento de la empresa, campo de acción del proyecto</w:t>
      </w:r>
    </w:p>
    <w:p>
      <w:pPr>
        <w:numPr>
          <w:ilvl w:val="0"/>
          <w:numId w:val="1002"/>
        </w:numPr>
        <w:pStyle w:val="Compact"/>
      </w:pPr>
      <w:r>
        <w:t xml:space="preserve">Justificación del segmento de la empresa susceptibles de gobierno</w:t>
      </w:r>
    </w:p>
    <w:p>
      <w:pPr>
        <w:numPr>
          <w:ilvl w:val="0"/>
          <w:numId w:val="1002"/>
        </w:numPr>
        <w:pStyle w:val="Compact"/>
      </w:pPr>
      <w:r>
        <w:t xml:space="preserve">Flujos críticos de trabajo sensibles al gobierno (relación con E-Service, Fase I)</w:t>
      </w:r>
    </w:p>
    <w:p>
      <w:pPr>
        <w:pStyle w:val="FirstParagraph"/>
      </w:pPr>
    </w:p>
    <w:bookmarkEnd w:id="32"/>
    <w:bookmarkStart w:id="35" w:name="criterios-de-aceptación"/>
    <w:p>
      <w:pPr>
        <w:pStyle w:val="Ttulo2"/>
      </w:pPr>
      <w:r>
        <w:t xml:space="preserve">Criterios de Aceptación</w:t>
      </w:r>
    </w:p>
    <w:p>
      <w:pPr>
        <w:numPr>
          <w:ilvl w:val="0"/>
          <w:numId w:val="1003"/>
        </w:numPr>
        <w:pStyle w:val="Compact"/>
      </w:pPr>
      <w:r>
        <w:t xml:space="preserve">Lista de los ítems de los flujos críticos de trabajo sujetos al gobierno SOA</w:t>
      </w:r>
    </w:p>
    <w:p>
      <w:pPr>
        <w:numPr>
          <w:ilvl w:val="0"/>
          <w:numId w:val="1003"/>
        </w:numPr>
        <w:pStyle w:val="Compact"/>
      </w:pPr>
      <w:r>
        <w:t xml:space="preserve">Vista de segmento de la empresa del proyecto 1 (PRY01), Gobierno SOA FNA</w:t>
      </w:r>
    </w:p>
    <w:p>
      <w:pPr>
        <w:pStyle w:val="FirstParagraph"/>
      </w:pPr>
    </w:p>
    <w:p>
      <w:r>
        <w:pict>
          <v:rect style="width:0;height:1.5pt" o:hralign="center" o:hrstd="t" o:hr="t"/>
        </w:pict>
      </w:r>
    </w:p>
    <w:tbl>
      <w:tblPr>
        <w:tblStyle w:val="Table"/>
        <w:tblW w:type="pct" w:w="5000"/>
        <w:tblLook w:firstRow="1" w:lastRow="0" w:firstColumn="0" w:lastColumn="0" w:noHBand="0" w:noVBand="0" w:val="0020"/>
      </w:tblPr>
      <w:tblGrid>
        <w:gridCol w:w="422"/>
        <w:gridCol w:w="7497"/>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53563ff del 01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hyperlink r:id="rId34">
              <w:r>
                <w:rPr>
                  <w:rStyle w:val="Hipervnculo"/>
                </w:rPr>
                <w:t xml:space="preserve">N003a. Procesos de Negocio FNA</w:t>
              </w:r>
            </w:hyperlink>
          </w:p>
        </w:tc>
      </w:tr>
    </w:tbl>
    <w:p>
      <w:pPr>
        <w:pStyle w:val="Textoindependiente"/>
      </w:pPr>
    </w:p>
    <w:bookmarkEnd w:id="35"/>
    <w:bookmarkEnd w:id="36"/>
    <w:bookmarkStart w:id="48" w:name="Xfec879a391e4be25250b3f76a221c11ca8d002a"/>
    <w:p>
      <w:pPr>
        <w:pStyle w:val="Ttulo1"/>
      </w:pPr>
      <w:r>
        <w:t xml:space="preserve">Vista de Contexto Fase II, E-Service, 2023 (181-2020)</w:t>
      </w:r>
    </w:p>
    <w:bookmarkStart w:id="41" w:name="Xa7bf09accd813b07c97e8a351408ece794b8f54"/>
    <w:p>
      <w:pPr>
        <w:pStyle w:val="Ttulo2"/>
      </w:pPr>
      <w:r>
        <w:t xml:space="preserve">Elementos de la Arquitectura Impactados por el Proyecto</w:t>
      </w:r>
    </w:p>
    <w:p>
      <w:pPr>
        <w:pStyle w:val="FirstParagraph"/>
      </w:pPr>
      <w:r>
        <w:t xml:space="preserve">La vista de contexto o segmento de empresa presenta un corte de la arquitectura del Fondo Nacional del Ahorro (FNA, en adelante) acotada a las partes que son sujeto de trabajo de este proyecto, Gobierno SOA, Fase II, E-Service (contrato 181-2020). Si bien, la vista contiene aquellas partes directamente relacionadas con el proyecto, también presenta la relación indirecta que hay con otros ítems de la arquitectura del FNA.</w:t>
      </w:r>
    </w:p>
    <w:p>
      <w:pPr>
        <w:pStyle w:val="Figure"/>
      </w:pPr>
      <w:r>
        <w:drawing>
          <wp:inline>
            <wp:extent cx="5600700" cy="6506407"/>
            <wp:effectExtent b="0" l="0" r="0" t="0"/>
            <wp:docPr descr="" title="" id="38" name="Picture"/>
            <a:graphic>
              <a:graphicData uri="http://schemas.openxmlformats.org/drawingml/2006/picture">
                <pic:pic>
                  <pic:nvPicPr>
                    <pic:cNvPr descr="images/segmentoFNAfaseII.jpg" id="39"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40">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en esta caso, aunque sea de caracter empresarial está condicionada por las restricciones del proyecto presente, no puede por esto mismo abarcar a la completitud de la empresa. Por esta razón el segmento presentado en la imagen arriba hace foco en las partes que son relevantes según las restricciones de ejecución y resultados esperados de este proyecto. Segundo, la vista de contexto comunica las problemáticas y operaciones (en forma de trabajo, al final de la vista) que se deberán realizar para producir una solución esperada e los términos del proyecto, que en esta caso es de Gobierno SOA.</w:t>
      </w:r>
    </w:p>
    <w:p>
      <w:pPr>
        <w:pStyle w:val="Textoindependiente"/>
      </w:pPr>
      <w:r>
        <w:t xml:space="preserve">Tercero y último, facilita la justificación y los criterios con los que se realizó la inclusión de los ítems que en ella figuran.</w:t>
      </w:r>
    </w:p>
    <w:p>
      <w:pPr>
        <w:pStyle w:val="Textoindependiente"/>
      </w:pPr>
    </w:p>
    <w:bookmarkEnd w:id="41"/>
    <w:bookmarkStart w:id="42" w:name="X684aa5c3305e26e9ba2543f5ad1c22661424643"/>
    <w:p>
      <w:pPr>
        <w:pStyle w:val="Ttulo2"/>
      </w:pPr>
      <w:r>
        <w:t xml:space="preserve">Justificación de los Ítems de Arquitectura Impactados por el Proyecto</w:t>
      </w:r>
    </w:p>
    <w:p>
      <w:pPr>
        <w:pStyle w:val="FirstParagraph"/>
      </w:pPr>
      <w:r>
        <w:t xml:space="preserve">En función a los resultados de los diagnósticos de E-Service, Fase Idel, específicamente de la evaluación de madurez de las dimensiones de arquitectura para el FNA, Negocio, Organización y Gobierno,</w:t>
      </w:r>
      <w:r>
        <w:t xml:space="preserve"> </w:t>
      </w:r>
      <w:r>
        <w:t xml:space="preserve">Método, Aplicaciones, Arquitectura, Información e Infraestructura; el FNA se encuentra en un nivel de madurez</w:t>
      </w:r>
      <w:r>
        <w:t xml:space="preserve"> </w:t>
      </w:r>
      <w:r>
        <w:rPr>
          <w:bCs/>
          <w:b/>
        </w:rPr>
        <w:t xml:space="preserve">REACTIVO</w:t>
      </w:r>
      <w:r>
        <w:t xml:space="preserve"> </w:t>
      </w:r>
      <w:r>
        <w:t xml:space="preserve">asociado a</w:t>
      </w:r>
      <w:r>
        <w:t xml:space="preserve"> </w:t>
      </w:r>
      <w:r>
        <w:t xml:space="preserve">una gestión de información en modo aislado según las necesidades de cada área/sistema y por otra parte se encuentran soluciones específicas</w:t>
      </w:r>
      <w:r>
        <w:t xml:space="preserve"> </w:t>
      </w:r>
      <w:r>
        <w:t xml:space="preserve">para demandas puntuales.</w:t>
      </w:r>
    </w:p>
    <w:p>
      <w:pPr>
        <w:pStyle w:val="Textoindependiente"/>
      </w:pPr>
      <w:r>
        <w:t xml:space="preserve">En ese sentido, se hace necesario impactar los procesos que mayor presentan estas problemáticas en el Fondo, en función de mejorar la calidad de los servicios que presta, y en cumplimiento tanto de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Ministerio de Tecnologías de la Información y las Comunicaciones. Y dentro de esos procesos misionales, las actividades asociadas a</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 constituyen elementos que habilitan al FNA, para una adecuada ruta de calidad de servicio y generación de valor para los interesados.</w:t>
      </w:r>
    </w:p>
    <w:p>
      <w:pPr>
        <w:pStyle w:val="Textoindependiente"/>
      </w:pPr>
      <w:r>
        <w:t xml:space="preserve">Estos elementos son abordados en el periodo de tiempo establecido para el ejercicio del proyecto, esto es</w:t>
      </w:r>
      <w:r>
        <w:t xml:space="preserve"> </w:t>
      </w:r>
      <w:r>
        <w:rPr>
          <w:iCs/>
          <w:i/>
        </w:rPr>
        <w:t xml:space="preserve">dos meses</w:t>
      </w:r>
      <w:r>
        <w:t xml:space="preserve">, y con el equipo de trabajo presentado para su desarrollo.</w:t>
      </w:r>
    </w:p>
    <w:p>
      <w:pPr>
        <w:pStyle w:val="Textoindependiente"/>
      </w:pPr>
      <w:r>
        <w:t xml:space="preserve">Por otra parte; se hace necesario establecer los artefactos que son relevantes para la Entidad, en función de su misionalidad y las demandas</w:t>
      </w:r>
      <w:r>
        <w:t xml:space="preserve"> </w:t>
      </w:r>
      <w:r>
        <w:t xml:space="preserve">de los interesados</w:t>
      </w:r>
      <w:r>
        <w:t xml:space="preserve"> </w:t>
      </w:r>
      <w:r>
        <w:rPr>
          <w:bCs/>
          <w:b/>
        </w:rPr>
        <w:t xml:space="preserve">ciudadanos</w:t>
      </w:r>
    </w:p>
    <w:bookmarkEnd w:id="42"/>
    <w:bookmarkStart w:id="47"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4"/>
        </w:numPr>
        <w:pStyle w:val="Compact"/>
      </w:pPr>
      <w:r>
        <w:t xml:space="preserve">Los procesos de _Diseño de Servicios y Soluciones FNA** y **Verificación y Calidad de Implementación_</w:t>
      </w:r>
    </w:p>
    <w:p>
      <w:pPr>
        <w:numPr>
          <w:ilvl w:val="0"/>
          <w:numId w:val="1004"/>
        </w:numPr>
        <w:pStyle w:val="Compact"/>
      </w:pPr>
      <w:r>
        <w:t xml:space="preserve">Los objetivos representados en el gobierno y adopción de la arquitectura</w:t>
      </w:r>
    </w:p>
    <w:p>
      <w:pPr>
        <w:numPr>
          <w:ilvl w:val="0"/>
          <w:numId w:val="1004"/>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4"/>
        </w:numPr>
        <w:pStyle w:val="Compact"/>
      </w:pPr>
      <w:r>
        <w:t xml:space="preserve">La infraestructura tecnológica que soporta los servicios</w:t>
      </w:r>
    </w:p>
    <w:p>
      <w:pPr>
        <w:pStyle w:val="FirstParagraph"/>
      </w:pPr>
    </w:p>
    <w:bookmarkStart w:id="43" w:name="diseño-de-servicios-y-soluciones-fna"/>
    <w:p>
      <w:pPr>
        <w:pStyle w:val="Ttulo3"/>
      </w:pPr>
      <w:r>
        <w:t xml:space="preserve">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5"/>
        </w:numPr>
        <w:pStyle w:val="Compact"/>
      </w:pPr>
      <w:r>
        <w:t xml:space="preserve">Gestión de la configuración</w:t>
      </w:r>
    </w:p>
    <w:p>
      <w:pPr>
        <w:numPr>
          <w:ilvl w:val="0"/>
          <w:numId w:val="1005"/>
        </w:numPr>
        <w:pStyle w:val="Compact"/>
      </w:pPr>
      <w:r>
        <w:t xml:space="preserve">Preparación y ejecución de pruebas</w:t>
      </w:r>
    </w:p>
    <w:p>
      <w:pPr>
        <w:numPr>
          <w:ilvl w:val="0"/>
          <w:numId w:val="1005"/>
        </w:numPr>
        <w:pStyle w:val="Compact"/>
      </w:pPr>
      <w:r>
        <w:t xml:space="preserve">Gestión de Requisitos y Mantenimiento</w:t>
      </w:r>
    </w:p>
    <w:p>
      <w:pPr>
        <w:numPr>
          <w:ilvl w:val="0"/>
          <w:numId w:val="1005"/>
        </w:numPr>
        <w:pStyle w:val="Compact"/>
      </w:pPr>
      <w:r>
        <w:t xml:space="preserve">Atención de problemas</w:t>
      </w:r>
    </w:p>
    <w:p>
      <w:pPr>
        <w:numPr>
          <w:ilvl w:val="0"/>
          <w:numId w:val="1005"/>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w:t>
      </w:r>
      <w:r>
        <w:t xml:space="preserve"> </w:t>
      </w:r>
      <w:r>
        <w:t xml:space="preserve">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w:t>
      </w:r>
      <w:r>
        <w:t xml:space="preserve"> </w:t>
      </w:r>
      <w:r>
        <w:t xml:space="preserve">y sistemas de gestión empresarial, entre otros.</w:t>
      </w:r>
    </w:p>
    <w:p>
      <w:pPr>
        <w:pStyle w:val="Textoindependiente"/>
      </w:pPr>
      <w:r>
        <w:t xml:space="preserve">Por otra parte y en articulación al Marco para la Transformación Digital del Estado Colombiano, del</w:t>
      </w:r>
      <w:r>
        <w:t xml:space="preserve"> </w:t>
      </w:r>
      <w:r>
        <w:rPr>
          <w:bCs/>
          <w:b/>
        </w:rPr>
        <w:t xml:space="preserve">MinTIC</w:t>
      </w:r>
      <w:r>
        <w:t xml:space="preserve">, el diseño de servicios y</w:t>
      </w:r>
      <w:r>
        <w:t xml:space="preserve"> </w:t>
      </w:r>
      <w:r>
        <w:t xml:space="preserve">soluciones, integra habilidades del FNA, orientadas principalmente a:</w:t>
      </w:r>
    </w:p>
    <w:p>
      <w:pPr>
        <w:numPr>
          <w:ilvl w:val="0"/>
          <w:numId w:val="1006"/>
        </w:numPr>
        <w:pStyle w:val="Compact"/>
      </w:pPr>
      <w:r>
        <w:t xml:space="preserve">Diseño con enfoque centrado en los usuarios, (ciudadanos)</w:t>
      </w:r>
    </w:p>
    <w:p>
      <w:pPr>
        <w:numPr>
          <w:ilvl w:val="0"/>
          <w:numId w:val="1006"/>
        </w:numPr>
        <w:pStyle w:val="Compact"/>
      </w:pPr>
      <w:r>
        <w:t xml:space="preserve">Solución de problemas complejos a través de la Innovación</w:t>
      </w:r>
    </w:p>
    <w:p>
      <w:pPr>
        <w:numPr>
          <w:ilvl w:val="0"/>
          <w:numId w:val="1006"/>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 Diseño de Servicios y Soluciones FNA **, de la vista de segmento</w:t>
      </w:r>
      <w:r>
        <w:t xml:space="preserve"> </w:t>
      </w:r>
      <w:r>
        <w:t xml:space="preserve">del FNA.</w:t>
      </w:r>
    </w:p>
    <w:bookmarkEnd w:id="43"/>
    <w:bookmarkStart w:id="44" w:name="verificación-y-calidad-de-implementación"/>
    <w:p>
      <w:pPr>
        <w:pStyle w:val="Ttulo3"/>
      </w:pPr>
      <w:r>
        <w:t xml:space="preserve">Verificación y Calidad de Implementación</w:t>
      </w:r>
    </w:p>
    <w:p>
      <w:pPr>
        <w:pStyle w:val="FirstParagraph"/>
      </w:pPr>
      <w:r>
        <w:t xml:space="preserve">Este componente dentro de la vista de arquitectura de segmento, define el éxito del diseño de servicios y soluciones, debido a la consideración</w:t>
      </w:r>
      <w:r>
        <w:t xml:space="preserve"> </w:t>
      </w:r>
      <w:r>
        <w:t xml:space="preserve">de buenas prácticas, cumplimiento de normas y un adecuado gobierno en la etapa de diseño, hasta llegar a la implementación y puesta en funcionamiento.</w:t>
      </w:r>
    </w:p>
    <w:p>
      <w:pPr>
        <w:pStyle w:val="Textoindependiente"/>
      </w:pPr>
      <w:r>
        <w:t xml:space="preserve">La</w:t>
      </w:r>
      <w:r>
        <w:t xml:space="preserve"> </w:t>
      </w:r>
      <w:r>
        <w:rPr>
          <w:bCs/>
          <w:b/>
        </w:rPr>
        <w:t xml:space="preserve">Verificación y Calidad de Implementación</w:t>
      </w:r>
      <w:r>
        <w:t xml:space="preserve"> </w:t>
      </w:r>
      <w:r>
        <w:t xml:space="preserve">dentro de la arquitectura de segmento, asegura que el diseño tuvo una planificación adecuada, un</w:t>
      </w:r>
      <w:r>
        <w:t xml:space="preserve"> </w:t>
      </w:r>
      <w:r>
        <w:t xml:space="preserve">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w:t>
      </w:r>
      <w:r>
        <w:t xml:space="preserve"> </w:t>
      </w:r>
      <w:r>
        <w:t xml:space="preserve">uso y apropiación de la solución desplegada.</w:t>
      </w:r>
    </w:p>
    <w:p>
      <w:pPr>
        <w:pStyle w:val="Textoindependiente"/>
      </w:pPr>
      <w:r>
        <w:t xml:space="preserve">Lo anterior sugiere los niveles de actuación de un gobierno;</w:t>
      </w:r>
      <w:r>
        <w:t xml:space="preserve"> </w:t>
      </w:r>
      <w:r>
        <w:rPr>
          <w:bCs/>
          <w:b/>
        </w:rPr>
        <w:t xml:space="preserve">Gobierno SOA</w:t>
      </w:r>
    </w:p>
    <w:p>
      <w:pPr>
        <w:pStyle w:val="Textoindependiente"/>
      </w:pPr>
      <w:r>
        <w:t xml:space="preserve">Dentro del alcance de esta fase del proyecto, se contempla el diseño del Gobierno SOA, compuesto por elementos con</w:t>
      </w:r>
      <w:r>
        <w:t xml:space="preserve"> </w:t>
      </w:r>
      <w:r>
        <w:t xml:space="preserve">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7"/>
        </w:numPr>
        <w:pStyle w:val="Compact"/>
      </w:pPr>
      <w:r>
        <w:t xml:space="preserve">Procesos</w:t>
      </w:r>
    </w:p>
    <w:p>
      <w:pPr>
        <w:numPr>
          <w:ilvl w:val="0"/>
          <w:numId w:val="1007"/>
        </w:numPr>
        <w:pStyle w:val="Compact"/>
      </w:pPr>
      <w:r>
        <w:t xml:space="preserve">Estructura</w:t>
      </w:r>
    </w:p>
    <w:p>
      <w:pPr>
        <w:numPr>
          <w:ilvl w:val="0"/>
          <w:numId w:val="1007"/>
        </w:numPr>
        <w:pStyle w:val="Compact"/>
      </w:pPr>
      <w:r>
        <w:t xml:space="preserve">Habilidades y Competencias</w:t>
      </w:r>
    </w:p>
    <w:p>
      <w:pPr>
        <w:numPr>
          <w:ilvl w:val="0"/>
          <w:numId w:val="1007"/>
        </w:numPr>
        <w:pStyle w:val="Compact"/>
      </w:pPr>
      <w:r>
        <w:t xml:space="preserve">Políticas</w:t>
      </w:r>
    </w:p>
    <w:p>
      <w:pPr>
        <w:numPr>
          <w:ilvl w:val="0"/>
          <w:numId w:val="1007"/>
        </w:numPr>
        <w:pStyle w:val="Compact"/>
      </w:pPr>
      <w:r>
        <w:t xml:space="preserve">Cultura y Ética</w:t>
      </w:r>
    </w:p>
    <w:p>
      <w:pPr>
        <w:numPr>
          <w:ilvl w:val="0"/>
          <w:numId w:val="1007"/>
        </w:numPr>
        <w:pStyle w:val="Compact"/>
      </w:pPr>
      <w:r>
        <w:t xml:space="preserve">Infraestructura</w:t>
      </w:r>
    </w:p>
    <w:p>
      <w:pPr>
        <w:numPr>
          <w:ilvl w:val="0"/>
          <w:numId w:val="1007"/>
        </w:numPr>
        <w:pStyle w:val="Compact"/>
      </w:pPr>
      <w:r>
        <w:t xml:space="preserve">Elementos de Información</w:t>
      </w:r>
    </w:p>
    <w:p>
      <w:pPr>
        <w:pStyle w:val="FirstParagraph"/>
      </w:pPr>
    </w:p>
    <w:bookmarkEnd w:id="44"/>
    <w:bookmarkStart w:id="45" w:name="desarrollo-de-arquitecturas-fna"/>
    <w:p>
      <w:pPr>
        <w:pStyle w:val="Ttulo3"/>
      </w:pPr>
      <w:r>
        <w:t xml:space="preserve">Desarrollo de Arquitecturas FNA</w:t>
      </w:r>
    </w:p>
    <w:p>
      <w:pPr>
        <w:pStyle w:val="FirstParagraph"/>
      </w:pPr>
      <w:r>
        <w:t xml:space="preserve">Dentro del dominio motivacional; una de las metas claves de la vista de segmento corresponde al desarrollo de arquitecturas, como</w:t>
      </w:r>
      <w:r>
        <w:t xml:space="preserve"> </w:t>
      </w:r>
      <w:r>
        <w:t xml:space="preserve">elementos rectores de gobierno de los procesos:</w:t>
      </w:r>
      <w:r>
        <w:t xml:space="preserve"> </w:t>
      </w:r>
      <w:r>
        <w:rPr>
          <w:bCs/>
          <w:b/>
        </w:rPr>
        <w:t xml:space="preserve">Diseño de Servicios y Soluciones FNA</w:t>
      </w:r>
      <w:r>
        <w:t xml:space="preserve"> </w:t>
      </w:r>
      <w:r>
        <w:t xml:space="preserve">y</w:t>
      </w:r>
      <w:r>
        <w:t xml:space="preserve"> </w:t>
      </w:r>
      <w:r>
        <w:rPr>
          <w:bCs/>
          <w:b/>
        </w:rPr>
        <w:t xml:space="preserve">Verificación y Calidad de Implementación</w:t>
      </w:r>
    </w:p>
    <w:p>
      <w:pPr>
        <w:pStyle w:val="Textoindependiente"/>
      </w:pPr>
      <w:r>
        <w:t xml:space="preserve">De acuerdo al Marco de Referencia de Arquitectura Empresarial -</w:t>
      </w:r>
      <w:r>
        <w:t xml:space="preserve"> </w:t>
      </w:r>
      <w:r>
        <w:rPr>
          <w:bCs/>
          <w:b/>
        </w:rPr>
        <w:t xml:space="preserve">MRAE</w:t>
      </w:r>
      <w:r>
        <w:t xml:space="preserve"> </w:t>
      </w:r>
      <w:r>
        <w:t xml:space="preserve">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45"/>
    <w:bookmarkStart w:id="46" w:name="gestión-de-arquitectura-fna"/>
    <w:p>
      <w:pPr>
        <w:pStyle w:val="Ttulo3"/>
      </w:pPr>
      <w:r>
        <w:t xml:space="preserve">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r>
        <w:pict>
          <v:rect style="width:0;height:1.5pt" o:hralign="center" o:hrstd="t" o:hr="t"/>
        </w:pict>
      </w:r>
    </w:p>
    <w:bookmarkEnd w:id="46"/>
    <w:bookmarkEnd w:id="47"/>
    <w:bookmarkEnd w:id="48"/>
    <w:bookmarkStart w:id="54" w:name="anexos-del-producto-1-pr01"/>
    <w:p>
      <w:pPr>
        <w:pStyle w:val="Ttulo1"/>
      </w:pPr>
      <w:r>
        <w:t xml:space="preserve">Anexos del Producto 1 (PR01)</w:t>
      </w:r>
    </w:p>
    <w:bookmarkStart w:id="51" w:name="vista-de-segmento-del-proyecto"/>
    <w:p>
      <w:pPr>
        <w:pStyle w:val="Ttulo2"/>
      </w:pPr>
      <w:r>
        <w:t xml:space="preserve">1. Vista de Segmento del Proyecto</w:t>
      </w:r>
    </w:p>
    <w:p>
      <w:pPr>
        <w:pStyle w:val="Figure"/>
      </w:pPr>
      <w:r>
        <w:drawing>
          <wp:inline>
            <wp:extent cx="5600700" cy="6506407"/>
            <wp:effectExtent b="0" l="0" r="0" t="0"/>
            <wp:docPr descr="" title="" id="49" name="Picture"/>
            <a:graphic>
              <a:graphicData uri="http://schemas.openxmlformats.org/drawingml/2006/picture">
                <pic:pic>
                  <pic:nvPicPr>
                    <pic:cNvPr descr="images/segmentoFNAfaseII.jpg" id="50"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40">
        <w:r>
          <w:rPr>
            <w:rStyle w:val="Hipervnculo"/>
          </w:rPr>
          <w:t xml:space="preserve">Imagen 1.</w:t>
        </w:r>
      </w:hyperlink>
      <w:r>
        <w:t xml:space="preserve"> </w:t>
      </w:r>
      <w:r>
        <w:t xml:space="preserve">Los ítems de la arquitectura del FNA objeto del trabajo de la Fase II de E-Service, 2023.</w:t>
      </w:r>
    </w:p>
    <w:p>
      <w:pPr>
        <w:pStyle w:val="Textoindependiente"/>
      </w:pPr>
      <w:r>
        <w:rPr>
          <w:iCs/>
          <w:i/>
        </w:rPr>
        <w:t xml:space="preserve">Fuente: Diagnóstico SOA. E-Service (2022)</w:t>
      </w:r>
    </w:p>
    <w:p>
      <w:pPr>
        <w:pStyle w:val="Textoindependiente"/>
      </w:pPr>
    </w:p>
    <w:bookmarkEnd w:id="51"/>
    <w:bookmarkStart w:id="52" w:name="X8eadbdaa3874e1119fd9d7aa58b68aad5402bf4"/>
    <w:p>
      <w:pPr>
        <w:pStyle w:val="Ttulo2"/>
      </w:pPr>
      <w:r>
        <w:t xml:space="preserve">2. Servicios SOA del FNA Vista de Segmento del Proyecto</w:t>
      </w:r>
    </w:p>
    <w:p>
      <w:pPr>
        <w:pStyle w:val="FirstParagraph"/>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611"/>
        <w:gridCol w:w="3033"/>
        <w:gridCol w:w="2274"/>
      </w:tblGrid>
      <w:tr>
        <w:trPr>
          <w:tblHeader w:val="true"/>
        </w:trPr>
        <w:tc>
          <w:tcPr/>
          <w:p>
            <w:pPr>
              <w:pStyle w:val="Compact"/>
              <w:jc w:val="left"/>
            </w:pPr>
            <w:r>
              <w:rPr>
                <w:bCs/>
                <w:b/>
              </w:rPr>
              <w:t xml:space="preserve">Capacidades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Diagnóstico SOA. E-Service (2022)</w:t>
      </w:r>
    </w:p>
    <w:bookmarkEnd w:id="52"/>
    <w:bookmarkStart w:id="53" w:name="Xaf64b88f81e3879c94b5289fe3d0200b0a2b729"/>
    <w:p>
      <w:pPr>
        <w:pStyle w:val="Ttulo2"/>
      </w:pPr>
      <w:r>
        <w:t xml:space="preserve">3. Lista de Fases y Entregables del Proyecgto 1 (PRY01), Gobierno SOA</w:t>
      </w:r>
    </w:p>
    <w:tbl>
      <w:tblPr>
        <w:tblStyle w:val="Table"/>
        <w:tblW w:type="pct" w:w="5000"/>
        <w:tblLook w:firstRow="1" w:lastRow="0" w:firstColumn="0" w:lastColumn="0" w:noHBand="0" w:noVBand="0" w:val="0020"/>
      </w:tblPr>
      <w:tblGrid>
        <w:gridCol w:w="826"/>
        <w:gridCol w:w="6060"/>
        <w:gridCol w:w="1033"/>
      </w:tblGrid>
      <w:tr>
        <w:trPr>
          <w:tblHeader w:val="true"/>
        </w:trPr>
        <w:tc>
          <w:tcPr/>
          <w:p>
            <w:pPr>
              <w:pStyle w:val="Compact"/>
            </w:pPr>
          </w:p>
        </w:tc>
        <w:tc>
          <w:tcPr/>
          <w:p>
            <w:pPr>
              <w:pStyle w:val="Compact"/>
              <w:jc w:val="left"/>
            </w:pPr>
            <w:r>
              <w:t xml:space="preserve">PRY01. Gobierno SOA</w:t>
            </w:r>
          </w:p>
        </w:tc>
        <w:tc>
          <w:tcPr/>
          <w:p>
            <w:pPr>
              <w:pStyle w:val="Compact"/>
              <w:jc w:val="left"/>
            </w:pPr>
            <w:r>
              <w:t xml:space="preserve">Documentación</w:t>
            </w:r>
          </w:p>
        </w:tc>
      </w:tr>
      <w:tr>
        <w:tc>
          <w:tcPr/>
          <w:p>
            <w:pPr>
              <w:pStyle w:val="Compact"/>
              <w:jc w:val="left"/>
            </w:pPr>
            <w:r>
              <w:t xml:space="preserve">Fase 0</w:t>
            </w:r>
          </w:p>
        </w:tc>
        <w:tc>
          <w:tcPr/>
          <w:p>
            <w:pPr>
              <w:pStyle w:val="Compact"/>
              <w:jc w:val="left"/>
            </w:pPr>
            <w:r>
              <w:t xml:space="preserve">PR01. Detalle de los ítems de arquitectura impactados por el proyecto</w:t>
            </w:r>
          </w:p>
        </w:tc>
        <w:tc>
          <w:tcPr/>
          <w:p>
            <w:pPr>
              <w:pStyle w:val="Compact"/>
            </w:pPr>
          </w:p>
        </w:tc>
      </w:tr>
      <w:tr>
        <w:tc>
          <w:tcPr/>
          <w:p>
            <w:pPr>
              <w:pStyle w:val="Compact"/>
            </w:pPr>
          </w:p>
        </w:tc>
        <w:tc>
          <w:tcPr/>
          <w:p>
            <w:pPr>
              <w:pStyle w:val="Compact"/>
              <w:jc w:val="left"/>
            </w:pPr>
            <w:r>
              <w:t xml:space="preserve">PR01.1. Aprobación de inicio y personal FNA asignado Gobierno SOA</w:t>
            </w:r>
          </w:p>
        </w:tc>
        <w:tc>
          <w:tcPr/>
          <w:p>
            <w:pPr>
              <w:pStyle w:val="Compact"/>
            </w:pPr>
          </w:p>
        </w:tc>
      </w:tr>
      <w:tr>
        <w:tc>
          <w:tcPr/>
          <w:p>
            <w:pPr>
              <w:pStyle w:val="Compact"/>
              <w:jc w:val="left"/>
            </w:pPr>
            <w:r>
              <w:t xml:space="preserve">Fase 1</w:t>
            </w:r>
          </w:p>
        </w:tc>
        <w:tc>
          <w:tcPr/>
          <w:p>
            <w:pPr>
              <w:pStyle w:val="Compact"/>
              <w:jc w:val="left"/>
            </w:pPr>
            <w:r>
              <w:t xml:space="preserve">PR02. Detalle de los recursos, herramientas, roles y participantes del gobierno SOA</w:t>
            </w:r>
          </w:p>
        </w:tc>
        <w:tc>
          <w:tcPr/>
          <w:p>
            <w:pPr>
              <w:pStyle w:val="Compact"/>
            </w:pPr>
          </w:p>
        </w:tc>
      </w:tr>
      <w:tr>
        <w:tc>
          <w:tcPr/>
          <w:p>
            <w:pPr>
              <w:pStyle w:val="Compact"/>
            </w:pPr>
          </w:p>
        </w:tc>
        <w:tc>
          <w:tcPr/>
          <w:p>
            <w:pPr>
              <w:pStyle w:val="Compact"/>
              <w:jc w:val="left"/>
            </w:pPr>
            <w:r>
              <w:t xml:space="preserve">PR03. Diseño de los procesos y responsabilidades del comité de gobierno</w:t>
            </w:r>
          </w:p>
        </w:tc>
        <w:tc>
          <w:tcPr/>
          <w:p>
            <w:pPr>
              <w:pStyle w:val="Compact"/>
            </w:pPr>
          </w:p>
        </w:tc>
      </w:tr>
      <w:tr>
        <w:tc>
          <w:tcPr/>
          <w:p>
            <w:pPr>
              <w:pStyle w:val="Compact"/>
              <w:jc w:val="left"/>
            </w:pPr>
            <w:r>
              <w:t xml:space="preserve">Fase 2</w:t>
            </w:r>
          </w:p>
        </w:tc>
        <w:tc>
          <w:tcPr/>
          <w:p>
            <w:pPr>
              <w:pStyle w:val="Compact"/>
              <w:jc w:val="left"/>
            </w:pPr>
            <w:r>
              <w:t xml:space="preserve">PR04. Definición de roles y responsabilidades y selección e instalación del comité</w:t>
            </w:r>
          </w:p>
        </w:tc>
        <w:tc>
          <w:tcPr/>
          <w:p>
            <w:pPr>
              <w:pStyle w:val="Compact"/>
            </w:pPr>
          </w:p>
        </w:tc>
      </w:tr>
      <w:tr>
        <w:tc>
          <w:tcPr/>
          <w:p>
            <w:pPr>
              <w:pStyle w:val="Compact"/>
            </w:pPr>
          </w:p>
        </w:tc>
        <w:tc>
          <w:tcPr/>
          <w:p>
            <w:pPr>
              <w:pStyle w:val="Compact"/>
              <w:jc w:val="left"/>
            </w:pPr>
            <w:r>
              <w:t xml:space="preserve">PR05. Procesos de mejoramiento de diseño y vigilancia de riesgos técnicos</w:t>
            </w:r>
          </w:p>
        </w:tc>
        <w:tc>
          <w:tcPr/>
          <w:p>
            <w:pPr>
              <w:pStyle w:val="Compact"/>
            </w:pPr>
          </w:p>
        </w:tc>
      </w:tr>
      <w:tr>
        <w:tc>
          <w:tcPr/>
          <w:p>
            <w:pPr>
              <w:pStyle w:val="Compact"/>
              <w:jc w:val="left"/>
            </w:pPr>
            <w:r>
              <w:t xml:space="preserve">Fase 3</w:t>
            </w:r>
          </w:p>
        </w:tc>
        <w:tc>
          <w:tcPr/>
          <w:p>
            <w:pPr>
              <w:pStyle w:val="Compact"/>
              <w:jc w:val="left"/>
            </w:pPr>
            <w:r>
              <w:t xml:space="preserve">PR06. Modelos actualizados de los ítems de arquitectura impactados por el proyecto</w:t>
            </w:r>
          </w:p>
        </w:tc>
        <w:tc>
          <w:tcPr/>
          <w:p>
            <w:pPr>
              <w:pStyle w:val="Compact"/>
            </w:pPr>
          </w:p>
        </w:tc>
      </w:tr>
      <w:tr>
        <w:tc>
          <w:tcPr/>
          <w:p>
            <w:pPr>
              <w:pStyle w:val="Compact"/>
              <w:jc w:val="left"/>
            </w:pPr>
            <w:r>
              <w:t xml:space="preserve">Fase 4</w:t>
            </w:r>
          </w:p>
        </w:tc>
        <w:tc>
          <w:tcPr/>
          <w:p>
            <w:pPr>
              <w:pStyle w:val="Compact"/>
              <w:jc w:val="left"/>
            </w:pPr>
            <w:r>
              <w:t xml:space="preserve">PR07. Métricas de efectividad del gobierno</w:t>
            </w:r>
          </w:p>
        </w:tc>
        <w:tc>
          <w:tcPr/>
          <w:p>
            <w:pPr>
              <w:pStyle w:val="Compact"/>
            </w:pPr>
          </w:p>
        </w:tc>
      </w:tr>
      <w:tr>
        <w:tc>
          <w:tcPr/>
          <w:p>
            <w:pPr>
              <w:pStyle w:val="Compact"/>
              <w:jc w:val="left"/>
            </w:pPr>
            <w:r>
              <w:t xml:space="preserve">A</w:t>
            </w:r>
          </w:p>
        </w:tc>
        <w:tc>
          <w:tcPr/>
          <w:p>
            <w:pPr>
              <w:pStyle w:val="Compact"/>
              <w:jc w:val="left"/>
            </w:pPr>
            <w:r>
              <w:t xml:space="preserve">Generar lineamientos y políticas de gobierno SOA</w:t>
            </w:r>
          </w:p>
        </w:tc>
        <w:tc>
          <w:tcPr/>
          <w:p>
            <w:pPr>
              <w:pStyle w:val="Compact"/>
            </w:pPr>
          </w:p>
        </w:tc>
      </w:tr>
      <w:tr>
        <w:tc>
          <w:tcPr/>
          <w:p>
            <w:pPr>
              <w:pStyle w:val="Compact"/>
            </w:pPr>
          </w:p>
        </w:tc>
        <w:tc>
          <w:tcPr/>
          <w:p>
            <w:pPr>
              <w:pStyle w:val="Compact"/>
              <w:jc w:val="left"/>
            </w:pPr>
            <w:r>
              <w:t xml:space="preserve">Aplicar y fortalecer gobierno SOA en el FNA</w:t>
            </w:r>
          </w:p>
        </w:tc>
        <w:tc>
          <w:tcPr/>
          <w:p>
            <w:pPr>
              <w:pStyle w:val="Compact"/>
            </w:pPr>
          </w:p>
        </w:tc>
      </w:tr>
      <w:tr>
        <w:tc>
          <w:tcPr/>
          <w:p>
            <w:pPr>
              <w:pStyle w:val="Compact"/>
            </w:pPr>
          </w:p>
        </w:tc>
        <w:tc>
          <w:tcPr/>
          <w:p>
            <w:pPr>
              <w:pStyle w:val="Compact"/>
              <w:jc w:val="left"/>
            </w:pPr>
            <w:r>
              <w:t xml:space="preserve">Medir las decisiones de arquitectura y del proceso de desarrollo de las soluciones SOA</w:t>
            </w:r>
          </w:p>
        </w:tc>
        <w:tc>
          <w:tcPr/>
          <w:p>
            <w:pPr>
              <w:pStyle w:val="Compact"/>
            </w:pPr>
          </w:p>
        </w:tc>
      </w:tr>
    </w:tbl>
    <w:p>
      <w:pPr>
        <w:pStyle w:val="Textoindependiente"/>
      </w:pPr>
    </w:p>
    <w:bookmarkEnd w:id="53"/>
    <w:bookmarkEnd w:id="54"/>
    <w:bookmarkStart w:id="55" w:name="e-service.-fase-ii.-pry01-gobierno-soa"/>
    <w:p>
      <w:pPr>
        <w:pStyle w:val="Ttulo1"/>
      </w:pPr>
      <w:r>
        <w:t xml:space="preserve">E-Service. Fase II. PRY01 Gobierno SOA</w:t>
      </w:r>
    </w:p>
    <w:bookmarkEnd w:id="55"/>
    <w:bookmarkStart w:id="56" w:name="Xe92f3a0c872b25ee85757beaa64c98c44252204"/>
    <w:p>
      <w:pPr>
        <w:pStyle w:val="Ttulo1"/>
      </w:pPr>
      <w:r>
        <w:t xml:space="preserve">Contenido de los Productos Contractuales, (#contrato 181-2020)</w:t>
      </w:r>
    </w:p>
    <w:bookmarkEnd w:id="56"/>
    <w:bookmarkStart w:id="60" w:name="Xa243999b82280cfd6e56ebddffb3dd3f704c061"/>
    <w:p>
      <w:pPr>
        <w:pStyle w:val="Ttulo1"/>
      </w:pPr>
      <w:r>
        <w:t xml:space="preserve">Producto 2: PR02. Detalle de los recursos, herramientas, roles y participantes del gobierno SOA</w:t>
      </w:r>
    </w:p>
    <w:p>
      <w:pPr>
        <w:pStyle w:val="FirstParagraph"/>
      </w:pPr>
      <w:r>
        <w:t xml:space="preserve">Políticas y procedimiento, paquetes de trabajo, identificación de personas, roles y herramientas a desplegar a cargo de la oficina de arquitectura del FNA por concepto de la instauración del gobierno.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57" w:name="justificación-1"/>
    <w:p>
      <w:pPr>
        <w:pStyle w:val="Ttulo2"/>
      </w:pPr>
      <w:r>
        <w:t xml:space="preserve">Justificación</w:t>
      </w:r>
    </w:p>
    <w:p>
      <w:pPr>
        <w:pStyle w:val="FirstParagraph"/>
      </w:pPr>
      <w:r>
        <w:t xml:space="preserve">El resultados del análisis de riesgos técnicos realizado en la Fase I de la consultoría E-Service, causados en parte por los retos de complejidad y agilidad que enfrenta el FNA, los cuales configuran una red de aplicaciones y servicios que aumenta el impacto, el esfuerzo y la incertidumbre de los cambios en las arquitecturas del Fondo, obliga a crear la oficina de arquitectua del FNA y a desplegar las mejoras en los flujos críticos de trabajo a cargo esta.</w:t>
      </w:r>
    </w:p>
    <w:bookmarkEnd w:id="57"/>
    <w:bookmarkStart w:id="58" w:name="contenidos-1"/>
    <w:p>
      <w:pPr>
        <w:pStyle w:val="Ttulo2"/>
      </w:pPr>
      <w:r>
        <w:t xml:space="preserve">Contenidos</w:t>
      </w:r>
    </w:p>
    <w:p>
      <w:pPr>
        <w:numPr>
          <w:ilvl w:val="0"/>
          <w:numId w:val="1008"/>
        </w:numPr>
        <w:pStyle w:val="Compact"/>
      </w:pPr>
      <w:r>
        <w:t xml:space="preserve">Modelo de gobierno SOA del FNA: actores, información y procedimientos</w:t>
      </w:r>
    </w:p>
    <w:p>
      <w:pPr>
        <w:numPr>
          <w:ilvl w:val="0"/>
          <w:numId w:val="1008"/>
        </w:numPr>
        <w:pStyle w:val="Compact"/>
      </w:pPr>
      <w:r>
        <w:t xml:space="preserve">Flujo de trabajo de oficina de arquitectura del FNA</w:t>
      </w:r>
    </w:p>
    <w:p>
      <w:pPr>
        <w:numPr>
          <w:ilvl w:val="0"/>
          <w:numId w:val="1008"/>
        </w:numPr>
        <w:pStyle w:val="Compact"/>
      </w:pPr>
      <w:r>
        <w:t xml:space="preserve">Matriz de responsabilidades oficina de arquitectura</w:t>
      </w:r>
    </w:p>
    <w:p>
      <w:pPr>
        <w:numPr>
          <w:ilvl w:val="0"/>
          <w:numId w:val="1008"/>
        </w:numPr>
        <w:pStyle w:val="Compact"/>
      </w:pPr>
      <w:r>
        <w:t xml:space="preserve">Procedimientos base del modelo de gobierno / oficina de arquitectura</w:t>
      </w:r>
    </w:p>
    <w:p>
      <w:pPr>
        <w:numPr>
          <w:ilvl w:val="0"/>
          <w:numId w:val="1008"/>
        </w:numPr>
        <w:pStyle w:val="Compact"/>
      </w:pPr>
      <w:r>
        <w:t xml:space="preserve">Anexos. Referencia documental del Gobierno SOA del FNA</w:t>
      </w:r>
    </w:p>
    <w:p>
      <w:pPr>
        <w:pStyle w:val="FirstParagraph"/>
      </w:pPr>
    </w:p>
    <w:bookmarkEnd w:id="58"/>
    <w:bookmarkStart w:id="59" w:name="criterios-de-aceptación-1"/>
    <w:p>
      <w:pPr>
        <w:pStyle w:val="Ttulo2"/>
      </w:pPr>
      <w:r>
        <w:t xml:space="preserve">Criterios de Aceptación</w:t>
      </w:r>
    </w:p>
    <w:p>
      <w:pPr>
        <w:numPr>
          <w:ilvl w:val="0"/>
          <w:numId w:val="1009"/>
        </w:numPr>
        <w:pStyle w:val="Compact"/>
      </w:pPr>
      <w:r>
        <w:t xml:space="preserve">Entendimiento funcional y operativa de la oficina de arquitectura FNA</w:t>
      </w:r>
    </w:p>
    <w:p>
      <w:pPr>
        <w:numPr>
          <w:ilvl w:val="0"/>
          <w:numId w:val="1009"/>
        </w:numPr>
        <w:pStyle w:val="Compact"/>
      </w:pPr>
      <w:r>
        <w:t xml:space="preserve">Matriz de roles y procedimientos de la oficina de arquitetura FNA</w:t>
      </w:r>
    </w:p>
    <w:p>
      <w:pPr>
        <w:pStyle w:val="FirstParagraph"/>
      </w:pPr>
    </w:p>
    <w:p>
      <w:r>
        <w:pict>
          <v:rect style="width:0;height:1.5pt" o:hralign="center" o:hrstd="t" o:hr="t"/>
        </w:pict>
      </w:r>
    </w:p>
    <w:bookmarkEnd w:id="59"/>
    <w:bookmarkEnd w:id="60"/>
    <w:bookmarkStart w:id="76" w:name="elementos-de-gobierno"/>
    <w:p>
      <w:pPr>
        <w:pStyle w:val="Ttulo1"/>
      </w:pPr>
      <w:r>
        <w:t xml:space="preserve">Elementos de Gobierno</w:t>
      </w:r>
    </w:p>
    <w:p>
      <w:pPr>
        <w:pStyle w:val="FirstParagraph"/>
      </w:pPr>
      <w:r>
        <w:t xml:space="preserve">El gobierno SOA del FNA, objeto de este proyecto, tiene impacto sobre partes e ítems seleccionadas de la arquitectura de software y de servicios del FNA, respectivamente (ver vista de contextual, segmento de la empresa). El impacto de este gobierno se extiende a actores principales, interesados, usuarios y entidades relacionados con aquellas partes de la arquitectura del FNA.</w:t>
      </w:r>
    </w:p>
    <w:bookmarkStart w:id="61" w:name="objetivo-del-gobierno-soa-del-fna"/>
    <w:p>
      <w:pPr>
        <w:pStyle w:val="Ttulo2"/>
      </w:pPr>
      <w:r>
        <w:t xml:space="preserve">Objetivo del Gobierno SOA del FNA</w:t>
      </w:r>
    </w:p>
    <w:p>
      <w:pPr>
        <w:pStyle w:val="FirstParagraph"/>
      </w:pPr>
      <w:r>
        <w:t xml:space="preserve">El FNN ha establecido como pilar tecnológico el Gobierno SOA tal que permita la continuidad de servicio, identificar las amenazas y riesgos que pueden impactar el desarrollo y la gestión de las arquitecturas de software del Fondo; tarea base para la generación de planes enfocados a la alienación y puesta marcha de futuras soluciones y mejoras de las actuales.</w:t>
      </w:r>
    </w:p>
    <w:bookmarkEnd w:id="61"/>
    <w:bookmarkStart w:id="65" w:name="X7f84bb94068da007d469c7240a92a859956f28c"/>
    <w:p>
      <w:pPr>
        <w:pStyle w:val="Ttulo2"/>
      </w:pPr>
      <w:r>
        <w:t xml:space="preserve">Análisis de Impacto en las arquitecturas (AIA) del FNA</w:t>
      </w:r>
    </w:p>
    <w:p>
      <w:pPr>
        <w:pStyle w:val="FirstParagraph"/>
      </w:pPr>
      <w:r>
        <w:t xml:space="preserve">El análisis de impacto en el negocio BIA (Business Impact Analisys) permite la evaluación de cada componente, para determinar cuáles de ellos son críticos para la continuidad del servicio y es la base para la creación del Plan de Continuidad.</w:t>
      </w:r>
    </w:p>
    <w:p>
      <w:pPr>
        <w:pStyle w:val="Textoindependiente"/>
      </w:pPr>
      <w:r>
        <w:t xml:space="preserve">Todas las etapas asociadas a este análisis se han documentado en la Matriz de Análisis BIA. A continuación, los resultados claves para el plan de continuidad del servicio.</w:t>
      </w:r>
    </w:p>
    <w:p>
      <w:pPr>
        <w:pStyle w:val="Textoindependiente"/>
      </w:pPr>
      <w:r>
        <w:t xml:space="preserve">Los pasos para el análisis BIA son:</w:t>
      </w:r>
    </w:p>
    <w:p>
      <w:pPr>
        <w:pStyle w:val="Textoindependiente"/>
      </w:pPr>
      <w:r>
        <w:t xml:space="preserve">Identificación de los componentes (CCF).</w:t>
      </w:r>
      <w:r>
        <w:t xml:space="preserve"> </w:t>
      </w:r>
      <w:r>
        <w:t xml:space="preserve">Identificación del calendario crítico para la operación de cada componente (picos de operación y épocas en las que su funcionamiento es indispensable).</w:t>
      </w:r>
      <w:r>
        <w:t xml:space="preserve"> </w:t>
      </w:r>
      <w:r>
        <w:t xml:space="preserve">Identificación de las dependencias e interacciones críticas para cada componente.</w:t>
      </w:r>
      <w:r>
        <w:t xml:space="preserve"> </w:t>
      </w:r>
      <w:r>
        <w:t xml:space="preserve">Análisis del impacto Financiero, Reputacional, Legal o al Usuario de la ausencia del componente en la línea de tiempo.</w:t>
      </w:r>
      <w:r>
        <w:t xml:space="preserve"> </w:t>
      </w:r>
      <w:r>
        <w:t xml:space="preserve">Tiempo Objetivo de Recuperación (RTO) para cada componente.</w:t>
      </w:r>
      <w:r>
        <w:t xml:space="preserve"> </w:t>
      </w:r>
      <w:r>
        <w:t xml:space="preserve">Identificación de los recursos mínimos para operar en contingencia.</w:t>
      </w:r>
      <w:r>
        <w:t xml:space="preserve"> </w:t>
      </w:r>
      <w:r>
        <w:t xml:space="preserve">Determinación del Punto Objetivo de Recuperación (RPO)</w:t>
      </w:r>
    </w:p>
    <w:bookmarkStart w:id="62" w:name="flujos-críticos-de-trabajo"/>
    <w:p>
      <w:pPr>
        <w:pStyle w:val="Ttulo3"/>
      </w:pPr>
      <w:r>
        <w:t xml:space="preserve">Flujos Críticos de Trabajo</w:t>
      </w:r>
    </w:p>
    <w:bookmarkEnd w:id="62"/>
    <w:bookmarkStart w:id="63" w:name="gestión-del-riesgo-técnico"/>
    <w:p>
      <w:pPr>
        <w:pStyle w:val="Ttulo3"/>
      </w:pPr>
      <w:r>
        <w:t xml:space="preserve">Gestión del Riesgo Técnico</w:t>
      </w:r>
    </w:p>
    <w:bookmarkEnd w:id="63"/>
    <w:bookmarkStart w:id="64" w:name="Xcd77ee836a8c879442fd4c95d02af51daa53318"/>
    <w:p>
      <w:pPr>
        <w:pStyle w:val="Ttulo3"/>
      </w:pPr>
      <w:r>
        <w:t xml:space="preserve">Definición de Estrategias de Contingencia</w:t>
      </w:r>
    </w:p>
    <w:p>
      <w:pPr>
        <w:pStyle w:val="FirstParagraph"/>
      </w:pPr>
      <w:r>
        <w:t xml:space="preserve">Las estrategias de contingencia se establecen para cada riesgo crítico analizado, contemplando para ello las redundancias existentes y los requisitos de seguridad que deben mantenerse en observación durante la materialización del riesgo y la recuperación a la normalidad.</w:t>
      </w:r>
    </w:p>
    <w:bookmarkEnd w:id="64"/>
    <w:bookmarkEnd w:id="65"/>
    <w:bookmarkStart w:id="73" w:name="ccf"/>
    <w:p>
      <w:pPr>
        <w:pStyle w:val="Ttulo2"/>
      </w:pPr>
      <w:r>
        <w:t xml:space="preserve">CCF</w:t>
      </w:r>
    </w:p>
    <w:tbl>
      <w:tblPr>
        <w:tblStyle w:val="Table"/>
        <w:tblW w:type="pct" w:w="5000"/>
        <w:tblLook w:firstRow="1" w:lastRow="0" w:firstColumn="0" w:lastColumn="0" w:noHBand="0" w:noVBand="0" w:val="0020"/>
      </w:tblPr>
      <w:tblGrid>
        <w:gridCol w:w="6336"/>
        <w:gridCol w:w="1584"/>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rPr>
                <w:iCs/>
                <w:i/>
              </w:rPr>
              <w:t xml:space="preserve">Guía: escoger únicamente un cliente objetivo a quien se va a solucionar el problema de gobierno</w:t>
            </w:r>
          </w:p>
        </w:tc>
      </w:tr>
      <w:tr>
        <w:tc>
          <w:tcPr/>
          <w:p>
            <w:pPr>
              <w:pStyle w:val="Compact"/>
              <w:jc w:val="left"/>
            </w:pPr>
            <w:r>
              <w:t xml:space="preserve">Producto/Servicio:</w:t>
            </w:r>
          </w:p>
        </w:tc>
        <w:tc>
          <w:tcPr/>
          <w:p>
            <w:pPr>
              <w:pStyle w:val="Compact"/>
              <w:jc w:val="left"/>
            </w:pPr>
            <w:r>
              <w:rPr>
                <w:iCs/>
                <w:i/>
              </w:rPr>
              <w:t xml:space="preserve">Guía: escoger únicamente un producto o servicio del cliente a quien se va a solucionar el problema</w:t>
            </w:r>
          </w:p>
        </w:tc>
      </w:tr>
    </w:tbl>
    <w:bookmarkStart w:id="66" w:name="atención"/>
    <w:p>
      <w:pPr>
        <w:pStyle w:val="Ttulo3"/>
      </w:pPr>
      <w:r>
        <w:t xml:space="preserve">Atención</w:t>
      </w:r>
    </w:p>
    <w:p>
      <w:pPr>
        <w:pStyle w:val="FirstParagraph"/>
      </w:pPr>
      <w:r>
        <w:rPr>
          <w:iCs/>
          <w:i/>
        </w:rPr>
        <w:t xml:space="preserve">Guía: por dónde llega o inicia el flujo. Ejemplo: puede ser un departamento, persona, sistema público o canal por donde llega la petición de inicio del flujo.</w:t>
      </w:r>
    </w:p>
    <w:bookmarkEnd w:id="66"/>
    <w:bookmarkStart w:id="67" w:name="petición"/>
    <w:p>
      <w:pPr>
        <w:pStyle w:val="Ttulo3"/>
      </w:pPr>
      <w:r>
        <w:t xml:space="preserve">Petición</w:t>
      </w:r>
    </w:p>
    <w:p>
      <w:pPr>
        <w:pStyle w:val="FirstParagraph"/>
      </w:pPr>
      <w:r>
        <w:rPr>
          <w:iCs/>
          <w:i/>
        </w:rPr>
        <w:t xml:space="preserve">Guía: En qué medio, dispositivo, o soporte queda almacenada la petición (correo, documento, forma, web, sistema, etc); cuál es y de qué tipo es la petición que ejecuta este flujo.</w:t>
      </w:r>
    </w:p>
    <w:bookmarkEnd w:id="67"/>
    <w:bookmarkStart w:id="68" w:name="arquitectura"/>
    <w:p>
      <w:pPr>
        <w:pStyle w:val="Ttulo3"/>
      </w:pPr>
      <w:r>
        <w:t xml:space="preserve">Arquitectura</w:t>
      </w:r>
    </w:p>
    <w:p>
      <w:pPr>
        <w:pStyle w:val="FirstParagraph"/>
      </w:pPr>
      <w:r>
        <w:rPr>
          <w:iCs/>
          <w:i/>
        </w:rPr>
        <w:t xml:space="preserve">Guía: ¿qué pasa después de que el arquitecto, ingeniero, o receptor recibe la petición. Si distribuye, o hace una propuesta, análisis, reunión, etc.</w:t>
      </w:r>
      <w:r>
        <w:t xml:space="preserve"> </w:t>
      </w:r>
      <w:r>
        <w:t xml:space="preserve">- paso 1</w:t>
      </w:r>
      <w:r>
        <w:t xml:space="preserve"> </w:t>
      </w:r>
      <w:r>
        <w:t xml:space="preserve">- 2</w:t>
      </w:r>
      <w:r>
        <w:t xml:space="preserve"> </w:t>
      </w:r>
      <w:r>
        <w:t xml:space="preserve">- 3</w:t>
      </w:r>
      <w:r>
        <w:t xml:space="preserve"> </w:t>
      </w:r>
      <w:r>
        <w:t xml:space="preserve">- 4</w:t>
      </w:r>
    </w:p>
    <w:bookmarkEnd w:id="68"/>
    <w:bookmarkStart w:id="69" w:name="valor"/>
    <w:p>
      <w:pPr>
        <w:pStyle w:val="Ttulo3"/>
      </w:pPr>
      <w:r>
        <w:t xml:space="preserve">Valor</w:t>
      </w:r>
    </w:p>
    <w:p>
      <w:pPr>
        <w:pStyle w:val="FirstParagraph"/>
      </w:pPr>
      <w:r>
        <w:rPr>
          <w:iCs/>
          <w:i/>
        </w:rPr>
        <w:t xml:space="preserve">Guía: cuál es el valor que este flujo genera para el FNA.</w:t>
      </w:r>
    </w:p>
    <w:bookmarkEnd w:id="69"/>
    <w:bookmarkStart w:id="70" w:name="seguimiento"/>
    <w:p>
      <w:pPr>
        <w:pStyle w:val="Ttulo3"/>
      </w:pPr>
      <w:r>
        <w:t xml:space="preserve">Seguimiento</w:t>
      </w:r>
    </w:p>
    <w:p>
      <w:pPr>
        <w:pStyle w:val="FirstParagraph"/>
      </w:pPr>
      <w:r>
        <w:rPr>
          <w:iCs/>
          <w:i/>
        </w:rPr>
        <w:t xml:space="preserve">Guía: cómo se valida que la ejecución o valor gnerado se haya llevado a cabo en dichos términos.</w:t>
      </w:r>
    </w:p>
    <w:bookmarkEnd w:id="70"/>
    <w:bookmarkStart w:id="71" w:name="entrega"/>
    <w:p>
      <w:pPr>
        <w:pStyle w:val="Ttulo3"/>
      </w:pPr>
      <w:r>
        <w:t xml:space="preserve">Entrega</w:t>
      </w:r>
    </w:p>
    <w:p>
      <w:pPr>
        <w:pStyle w:val="FirstParagraph"/>
      </w:pPr>
      <w:r>
        <w:rPr>
          <w:iCs/>
          <w:i/>
        </w:rPr>
        <w:t xml:space="preserve">Guía: cómo se da por entregado el resultado del trabajo al cliente objetivo que inició el flujo.</w:t>
      </w:r>
    </w:p>
    <w:bookmarkEnd w:id="71"/>
    <w:bookmarkStart w:id="72" w:name="repetición"/>
    <w:p>
      <w:pPr>
        <w:pStyle w:val="Ttulo3"/>
      </w:pPr>
      <w:r>
        <w:t xml:space="preserve">Repetición</w:t>
      </w:r>
    </w:p>
    <w:p>
      <w:pPr>
        <w:pStyle w:val="FirstParagraph"/>
      </w:pPr>
      <w:r>
        <w:rPr>
          <w:iCs/>
          <w:i/>
        </w:rPr>
        <w:t xml:space="preserve">Guía: qué es necesario realizar al flujo para que asegurar que el cliente objetivo quiera ejecutarlo nuevamente.</w:t>
      </w:r>
    </w:p>
    <w:bookmarkEnd w:id="72"/>
    <w:bookmarkEnd w:id="73"/>
    <w:bookmarkStart w:id="75" w:name="referencias"/>
    <w:p>
      <w:pPr>
        <w:pStyle w:val="Ttulo2"/>
      </w:pPr>
      <w:r>
        <w:t xml:space="preserve">Referencias</w:t>
      </w:r>
    </w:p>
    <w:bookmarkStart w:id="74" w:name="refs"/>
    <w:bookmarkEnd w:id="74"/>
    <w:bookmarkEnd w:id="75"/>
    <w:bookmarkEnd w:id="7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7" Target="media/rId37.jpg" /><Relationship Type="http://schemas.openxmlformats.org/officeDocument/2006/relationships/hyperlink" Id="rId40" Target=""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1" Target="https://github.com/hwong23/fna-dd-f2-pry1/tree/53563ff32b1b4f54984b411f5f607b3bdd9b069a"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53563ff32b1b4f54984b411f5f607b3bdd9b069a/"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40" Target=""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1" Target="https://github.com/hwong23/fna-dd-f2-pry1/tree/53563ff32b1b4f54984b411f5f607b3bdd9b069a"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53563ff32b1b4f54984b411f5f607b3bdd9b069a/"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Hoja de Ruta E-Service PRY01 Gobierno SOA FNA</dc:title>
  <dc:creator/>
  <dc:language>en-US</dc:language>
  <cp:keywords>SOA, madurez, gobierno, FNA</cp:keywords>
  <dcterms:created xsi:type="dcterms:W3CDTF">2023-06-01T20:35:24Z</dcterms:created>
  <dcterms:modified xsi:type="dcterms:W3CDTF">2023-06-01T20:35:24Z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2023-06-01</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