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7.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hwong23/fna-dd-f2-pry1@67cea9b</w:t>
        </w:r>
      </w:hyperlink>
      <w:r>
        <w:t xml:space="preserve"> </w:t>
      </w:r>
      <w:r>
        <w:t xml:space="preserve">del June 2, 2023.</w:t>
      </w:r>
      <w:r>
        <w:t xml:space="preserve"> </w:t>
      </w:r>
    </w:p>
    <w:p>
      <w:pPr>
        <w:pStyle w:val="Textoindependiente"/>
      </w:pPr>
      <w:r>
        <w:t xml:space="preserve">   </w:t>
      </w:r>
      <w:r>
        <w:rPr>
          <w:bCs/>
          <w:b/>
        </w:rPr>
        <w:t xml:space="preserve">Versión</w:t>
      </w:r>
      <w:r>
        <w:t xml:space="preserve"> </w:t>
      </w:r>
      <w:r>
        <w:t xml:space="preserve">del producto 1.67cea9b del 02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GitHub icon</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GitHub icon</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GitHub icon</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1.67cea9b del 02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02 Jun 2023</w:t>
      </w:r>
    </w:p>
    <w:p>
      <w:pPr>
        <w:pStyle w:val="Textodebloque"/>
      </w:pPr>
      <w:r>
        <w:rPr>
          <w:bCs/>
          <w:b/>
        </w:rPr>
        <w:t xml:space="preserve">Version</w:t>
      </w:r>
      <w:r>
        <w:t xml:space="preserve"> </w:t>
      </w:r>
      <w:r>
        <w:t xml:space="preserve">1.67cea9b</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1.67cea9b del 02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48" w:name="Xfec879a391e4be25250b3f76a221c11ca8d002a"/>
    <w:p>
      <w:pPr>
        <w:pStyle w:val="Ttulo1"/>
      </w:pPr>
      <w:r>
        <w:t xml:space="preserve">Vista de Contexto Fase II, E-Service, 2023 (181-2020)</w:t>
      </w:r>
    </w:p>
    <w:bookmarkStart w:id="41"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1.67cea9b del 02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41"/>
    <w:bookmarkStart w:id="42"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 específicamente de la evaluación de madurez de SOA del FNA, Negocio, Organización y Gobierno, Método, Aplicaciones, Arquitectura, Información e Infraestructura; el FNA se encuentra en un nivel de madurez</w:t>
      </w:r>
      <w:r>
        <w:t xml:space="preserve"> </w:t>
      </w:r>
      <w:r>
        <w:rPr>
          <w:bCs/>
          <w:b/>
        </w:rPr>
        <w:t xml:space="preserve">REACTIVO</w:t>
      </w:r>
      <w:r>
        <w:t xml:space="preserve"> </w:t>
      </w:r>
      <w:r>
        <w:t xml:space="preserve">asociado a una gestión de información en modo aislado según las necesidades de cada área/sistema y por otra parte se encuentran soluciones específicas 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 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 de los interesados</w:t>
      </w:r>
      <w:r>
        <w:t xml:space="preserve"> </w:t>
      </w:r>
      <w:r>
        <w:rPr>
          <w:bCs/>
          <w:b/>
        </w:rPr>
        <w:t xml:space="preserve">ciudadanos</w:t>
      </w: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43"/>
    <w:bookmarkStart w:id="44"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p>
      <w:pPr>
        <w:pStyle w:val="FirstParagraph"/>
      </w:pPr>
    </w:p>
    <w:bookmarkEnd w:id="44"/>
    <w:bookmarkStart w:id="45"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1.67cea9b del 02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46"/>
    <w:bookmarkEnd w:id="47"/>
    <w:bookmarkEnd w:id="48"/>
    <w:bookmarkStart w:id="49" w:name="X1fdd0a35b227ad61fc07790ee356b5036d6a9a1"/>
    <w:p>
      <w:pPr>
        <w:pStyle w:val="Ttulo1"/>
      </w:pPr>
      <w:r>
        <w:t xml:space="preserve">Flujos Críticos Susceptibles de Gobierno FNA</w:t>
      </w:r>
    </w:p>
    <w:p>
      <w:r>
        <w:pict>
          <v:rect style="width:0;height:1.5pt" o:hralign="center" o:hrstd="t" o:hr="t"/>
        </w:pict>
      </w:r>
    </w:p>
    <w:bookmarkEnd w:id="49"/>
    <w:bookmarkStart w:id="55" w:name="anexos-del-producto-1-pr01"/>
    <w:p>
      <w:pPr>
        <w:pStyle w:val="Ttulo1"/>
      </w:pPr>
      <w:r>
        <w:t xml:space="preserve">Anexos del Producto 1 (PR01)</w:t>
      </w:r>
    </w:p>
    <w:bookmarkStart w:id="52" w:name="vista-de-segmento-del-proyecto"/>
    <w:p>
      <w:pPr>
        <w:pStyle w:val="Ttulo2"/>
      </w:pPr>
      <w:r>
        <w:t xml:space="preserve">1. Vista de Segmento del Proyecto</w:t>
      </w:r>
    </w:p>
    <w:p>
      <w:pPr>
        <w:pStyle w:val="Figure"/>
      </w:pPr>
      <w:r>
        <w:drawing>
          <wp:inline>
            <wp:extent cx="5600700" cy="6506407"/>
            <wp:effectExtent b="0" l="0" r="0" t="0"/>
            <wp:docPr descr="" title="" id="50" name="Picture"/>
            <a:graphic>
              <a:graphicData uri="http://schemas.openxmlformats.org/drawingml/2006/picture">
                <pic:pic>
                  <pic:nvPicPr>
                    <pic:cNvPr descr="images/segmentoFNAfaseII.jpg" id="51"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52"/>
    <w:bookmarkStart w:id="53"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bookmarkEnd w:id="53"/>
    <w:bookmarkStart w:id="54"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p>
      <w:pPr>
        <w:pStyle w:val="Textodebloque"/>
      </w:pPr>
      <w:r>
        <w:t xml:space="preserve">E-Service. Fase II</w:t>
      </w:r>
    </w:p>
    <w:p>
      <w:pPr>
        <w:pStyle w:val="Textodebloque"/>
      </w:pPr>
      <w:r>
        <w:t xml:space="preserve">PRY02. Recursos, Herramientas, Roles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FECHA_COMPILACION</w:t>
      </w:r>
    </w:p>
    <w:p>
      <w:pPr>
        <w:pStyle w:val="Textodebloque"/>
      </w:pPr>
      <w:r>
        <w:rPr>
          <w:bCs/>
          <w:b/>
        </w:rPr>
        <w:t xml:space="preserve">Version</w:t>
      </w:r>
      <w:r>
        <w:t xml:space="preserve"> </w:t>
      </w:r>
      <w:r>
        <w:t xml:space="preserve">COMMIT</w:t>
      </w:r>
    </w:p>
    <w:bookmarkEnd w:id="54"/>
    <w:bookmarkEnd w:id="55"/>
    <w:bookmarkStart w:id="59"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56"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56"/>
    <w:bookmarkStart w:id="57" w:name="contenidos-1"/>
    <w:p>
      <w:pPr>
        <w:pStyle w:val="Ttulo2"/>
      </w:pPr>
      <w:r>
        <w:t xml:space="preserve">Contenidos</w:t>
      </w:r>
    </w:p>
    <w:p>
      <w:pPr>
        <w:numPr>
          <w:ilvl w:val="0"/>
          <w:numId w:val="1008"/>
        </w:numPr>
        <w:pStyle w:val="Compact"/>
      </w:pPr>
      <w:r>
        <w:t xml:space="preserve">Modelo de gobierno SOA del FNA: actores, información y procedimientos</w:t>
      </w:r>
    </w:p>
    <w:p>
      <w:pPr>
        <w:numPr>
          <w:ilvl w:val="0"/>
          <w:numId w:val="1008"/>
        </w:numPr>
        <w:pStyle w:val="Compact"/>
      </w:pPr>
      <w:r>
        <w:t xml:space="preserve">Flujo de trabajo de oficina de arquitectura del FNA</w:t>
      </w:r>
    </w:p>
    <w:p>
      <w:pPr>
        <w:numPr>
          <w:ilvl w:val="0"/>
          <w:numId w:val="1008"/>
        </w:numPr>
        <w:pStyle w:val="Compact"/>
      </w:pPr>
      <w:r>
        <w:t xml:space="preserve">Matriz de responsabilidades oficina de arquitectura</w:t>
      </w:r>
    </w:p>
    <w:p>
      <w:pPr>
        <w:numPr>
          <w:ilvl w:val="0"/>
          <w:numId w:val="1008"/>
        </w:numPr>
        <w:pStyle w:val="Compact"/>
      </w:pPr>
      <w:r>
        <w:t xml:space="preserve">Procedimientos base del modelo de gobierno / oficina de arquitectura</w:t>
      </w:r>
    </w:p>
    <w:p>
      <w:pPr>
        <w:numPr>
          <w:ilvl w:val="0"/>
          <w:numId w:val="1008"/>
        </w:numPr>
        <w:pStyle w:val="Compact"/>
      </w:pPr>
      <w:r>
        <w:t xml:space="preserve">Anexos. Referencia documental del Gobierno SOA del FNA</w:t>
      </w:r>
    </w:p>
    <w:p>
      <w:pPr>
        <w:pStyle w:val="FirstParagraph"/>
      </w:pPr>
    </w:p>
    <w:bookmarkEnd w:id="57"/>
    <w:bookmarkStart w:id="58" w:name="criterios-de-aceptación-1"/>
    <w:p>
      <w:pPr>
        <w:pStyle w:val="Ttulo2"/>
      </w:pPr>
      <w:r>
        <w:t xml:space="preserve">Criterios de Aceptación</w:t>
      </w:r>
    </w:p>
    <w:p>
      <w:pPr>
        <w:numPr>
          <w:ilvl w:val="0"/>
          <w:numId w:val="1009"/>
        </w:numPr>
        <w:pStyle w:val="Compact"/>
      </w:pPr>
      <w:r>
        <w:t xml:space="preserve">Entendimiento funcional y operativa de la oficina de arquitectura FNA</w:t>
      </w:r>
    </w:p>
    <w:p>
      <w:pPr>
        <w:numPr>
          <w:ilvl w:val="0"/>
          <w:numId w:val="1009"/>
        </w:numPr>
        <w:pStyle w:val="Compact"/>
      </w:pPr>
      <w:r>
        <w:t xml:space="preserve">Matriz de roles y procedimientos de la oficina de arquitetura FNA</w:t>
      </w:r>
    </w:p>
    <w:p>
      <w:pPr>
        <w:pStyle w:val="FirstParagraph"/>
      </w:pPr>
    </w:p>
    <w:p>
      <w:r>
        <w:pict>
          <v:rect style="width:0;height:1.5pt" o:hralign="center" o:hrstd="t" o:hr="t"/>
        </w:pict>
      </w:r>
    </w:p>
    <w:bookmarkEnd w:id="58"/>
    <w:bookmarkEnd w:id="59"/>
    <w:bookmarkStart w:id="82"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60"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60"/>
    <w:bookmarkStart w:id="64"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61" w:name="flujos-críticos-de-trabajo"/>
    <w:p>
      <w:pPr>
        <w:pStyle w:val="Ttulo3"/>
      </w:pPr>
      <w:r>
        <w:t xml:space="preserve">Flujos Críticos de Trabajo</w:t>
      </w:r>
    </w:p>
    <w:bookmarkEnd w:id="61"/>
    <w:bookmarkStart w:id="62" w:name="gestión-del-riesgo-técnico"/>
    <w:p>
      <w:pPr>
        <w:pStyle w:val="Ttulo3"/>
      </w:pPr>
      <w:r>
        <w:t xml:space="preserve">Gestión del Riesgo Técnico</w:t>
      </w:r>
    </w:p>
    <w:bookmarkEnd w:id="62"/>
    <w:bookmarkStart w:id="63"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63"/>
    <w:bookmarkEnd w:id="64"/>
    <w:bookmarkStart w:id="72"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65" w:name="atención"/>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65"/>
    <w:bookmarkStart w:id="66" w:name="petición"/>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66"/>
    <w:bookmarkStart w:id="67" w:name="arquitectura"/>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67"/>
    <w:bookmarkStart w:id="68" w:name="valor"/>
    <w:p>
      <w:pPr>
        <w:pStyle w:val="Ttulo3"/>
      </w:pPr>
      <w:r>
        <w:t xml:space="preserve">Valor</w:t>
      </w:r>
    </w:p>
    <w:p>
      <w:pPr>
        <w:pStyle w:val="FirstParagraph"/>
      </w:pPr>
      <w:r>
        <w:rPr>
          <w:iCs/>
          <w:i/>
        </w:rPr>
        <w:t xml:space="preserve">Guía: cuál es el valor que este flujo genera para el FNA.</w:t>
      </w:r>
    </w:p>
    <w:bookmarkEnd w:id="68"/>
    <w:bookmarkStart w:id="69" w:name="seguimiento"/>
    <w:p>
      <w:pPr>
        <w:pStyle w:val="Ttulo3"/>
      </w:pPr>
      <w:r>
        <w:t xml:space="preserve">Seguimiento</w:t>
      </w:r>
    </w:p>
    <w:p>
      <w:pPr>
        <w:pStyle w:val="FirstParagraph"/>
      </w:pPr>
      <w:r>
        <w:rPr>
          <w:iCs/>
          <w:i/>
        </w:rPr>
        <w:t xml:space="preserve">Guía: cómo se valida que la ejecución o valor gnerado se haya llevado a cabo en dichos términos.</w:t>
      </w:r>
    </w:p>
    <w:bookmarkEnd w:id="69"/>
    <w:bookmarkStart w:id="70" w:name="entrega"/>
    <w:p>
      <w:pPr>
        <w:pStyle w:val="Ttulo3"/>
      </w:pPr>
      <w:r>
        <w:t xml:space="preserve">Entrega</w:t>
      </w:r>
    </w:p>
    <w:p>
      <w:pPr>
        <w:pStyle w:val="FirstParagraph"/>
      </w:pPr>
      <w:r>
        <w:rPr>
          <w:iCs/>
          <w:i/>
        </w:rPr>
        <w:t xml:space="preserve">Guía: cómo se da por entregado el resultado del trabajo al cliente objetivo que inició el flujo.</w:t>
      </w:r>
    </w:p>
    <w:bookmarkEnd w:id="70"/>
    <w:bookmarkStart w:id="71" w:name="repetición"/>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71"/>
    <w:bookmarkEnd w:id="72"/>
    <w:bookmarkStart w:id="79" w:name="ccf-1"/>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73" w:name="atención-1"/>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73"/>
    <w:bookmarkStart w:id="74" w:name="arquitectura-1"/>
    <w:p>
      <w:pPr>
        <w:pStyle w:val="Ttulo3"/>
      </w:pPr>
      <w:r>
        <w:t xml:space="preserve">Arquitectura</w:t>
      </w:r>
    </w:p>
    <w:p>
      <w:pPr>
        <w:pStyle w:val="FirstParagraph"/>
      </w:pPr>
      <w:r>
        <w:t xml:space="preserve">_Guía: ¿qué pasa después de que el arquitecto, ingeniero, o receptor recibe la petición.</w:t>
      </w:r>
      <w:r>
        <w:t xml:space="preserve"> </w:t>
      </w:r>
      <w:r>
        <w:t xml:space="preserve">al presentar fallas del servicio, se realizar mesa técnica para verificar el estado de los componentes de arquitectura, aplicación , redes, Etc</w:t>
      </w:r>
      <w:r>
        <w:t xml:space="preserve"> </w:t>
      </w:r>
      <w:r>
        <w:t xml:space="preserve">- paso 1 cobis envia un ID al operador biometrico</w:t>
      </w:r>
      <w:r>
        <w:t xml:space="preserve"> </w:t>
      </w:r>
      <w:r>
        <w:t xml:space="preserve">- paso 2 el operador biometrico responde el ID</w:t>
      </w:r>
      <w:r>
        <w:t xml:space="preserve"> </w:t>
      </w:r>
      <w:r>
        <w:t xml:space="preserve">- paso 3 El operador levanta el servicio</w:t>
      </w:r>
      <w:r>
        <w:t xml:space="preserve"> </w:t>
      </w:r>
      <w:r>
        <w:t xml:space="preserve">- paso 4 El aplicativo core envía la petición de biometria</w:t>
      </w:r>
      <w:r>
        <w:t xml:space="preserve"> </w:t>
      </w:r>
      <w:r>
        <w:t xml:space="preserve">- el operador biometrico responde con un hit o no hit (hit que quiere decir que la persona es quien dice ser, no hit no es quien dice ser)</w:t>
      </w:r>
    </w:p>
    <w:p>
      <w:pPr>
        <w:pStyle w:val="Textoindependiente"/>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74"/>
    <w:bookmarkStart w:id="75" w:name="valor-1"/>
    <w:p>
      <w:pPr>
        <w:pStyle w:val="Ttulo3"/>
      </w:pPr>
      <w:r>
        <w:t xml:space="preserve">Valor</w:t>
      </w:r>
    </w:p>
    <w:p>
      <w:pPr>
        <w:pStyle w:val="FirstParagraph"/>
      </w:pPr>
      <w:r>
        <w:t xml:space="preserve">El valor es alto, debido a que afecta al Consumidor financiero en el retiro de las cesantias</w:t>
      </w:r>
    </w:p>
    <w:bookmarkEnd w:id="75"/>
    <w:bookmarkStart w:id="76" w:name="seguimiento-1"/>
    <w:p>
      <w:pPr>
        <w:pStyle w:val="Ttulo3"/>
      </w:pPr>
      <w:r>
        <w:t xml:space="preserve">Seguimiento</w:t>
      </w:r>
    </w:p>
    <w:p>
      <w:pPr>
        <w:pStyle w:val="FirstParagraph"/>
      </w:pPr>
      <w:r>
        <w:t xml:space="preserve">El seguimiento se realiza diariamente con la conciliacion aplicada por el area usuaria</w:t>
      </w:r>
    </w:p>
    <w:bookmarkEnd w:id="76"/>
    <w:bookmarkStart w:id="77" w:name="entrega-1"/>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77"/>
    <w:bookmarkStart w:id="78" w:name="repetición-1"/>
    <w:p>
      <w:pPr>
        <w:pStyle w:val="Ttulo3"/>
      </w:pPr>
      <w:r>
        <w:t xml:space="preserve">Repetición</w:t>
      </w:r>
    </w:p>
    <w:p>
      <w:pPr>
        <w:pStyle w:val="FirstParagraph"/>
      </w:pPr>
      <w:r>
        <w:t xml:space="preserve">_Guía: Implementar un buen diseño en la aplicacion y malla de calidad en la pruebas</w:t>
      </w:r>
    </w:p>
    <w:bookmarkEnd w:id="78"/>
    <w:bookmarkEnd w:id="79"/>
    <w:bookmarkStart w:id="81" w:name="referencias"/>
    <w:p>
      <w:pPr>
        <w:pStyle w:val="Ttulo2"/>
      </w:pPr>
      <w:r>
        <w:t xml:space="preserve">Referencias</w:t>
      </w:r>
    </w:p>
    <w:bookmarkStart w:id="80" w:name="refs"/>
    <w:bookmarkEnd w:id="80"/>
    <w:bookmarkEnd w:id="81"/>
    <w:bookmarkEnd w:id="8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7" Target="media/rId37.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67cea9bc4c86d28b42a0d1f4ff4a0512264db9b4"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67cea9bc4c86d28b42a0d1f4ff4a0512264db9b4/"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67cea9bc4c86d28b42a0d1f4ff4a0512264db9b4"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67cea9bc4c86d28b42a0d1f4ff4a0512264db9b4/"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2023-06-02T13:28:53Z</dcterms:created>
  <dcterms:modified xsi:type="dcterms:W3CDTF">2023-06-02T13:28:53Z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