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STEF@94d0524</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1.94d0524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1.94d0524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1.94d0524</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1.94d0524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1.94d0524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b52e9600-dfe8-4b87-adeb-52eae948b586"/>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be87cf8d-1b32-47b1-a507-381cdc186e37"/>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1.94d0524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5"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e1b422ef-6b00-40ef-a24a-d58e2d974b3e"/>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0362cc2f-9299-460d-8daa-60b7d06f868f"/>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Table 1: Tabla de asignación del flujo 01, Aprobación de Cesantías FNA.</w:t>
      </w:r>
      <w:r>
        <w:t xml:space="preserve"> </w:t>
      </w:r>
    </w:p>
    <w:tbl>
      <w:tblPr>
        <w:tblStyle w:val="Table"/>
        <w:tblW w:type="pct" w:w="5000"/>
        <w:tblLook w:firstRow="1" w:lastRow="0" w:firstColumn="0" w:lastColumn="0" w:noHBand="0" w:noVBand="0" w:val="0020"/>
        <w:tblCaption w:val="Table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4"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94"/>
    <w:bookmarkEnd w:id="95"/>
    <w:bookmarkStart w:id="116" w:name="anexos-del-producto-1-pr01"/>
    <w:p>
      <w:pPr>
        <w:pStyle w:val="Ttulo1"/>
      </w:pPr>
      <w:r>
        <w:t xml:space="preserve">Anexos del Producto 1 (PR01)</w:t>
      </w:r>
    </w:p>
    <w:bookmarkStart w:id="99" w:name="vista-de-segmento-del-proyecto"/>
    <w:p>
      <w:pPr>
        <w:pStyle w:val="Ttulo2"/>
      </w:pPr>
      <w:r>
        <w:t xml:space="preserve">1. Vista de Segmento del Proyecto</w:t>
      </w:r>
    </w:p>
    <w:p>
      <w:pPr>
        <w:pStyle w:val="Figure"/>
      </w:pPr>
      <w:r>
        <w:drawing>
          <wp:inline>
            <wp:extent cx="5600700" cy="6506407"/>
            <wp:effectExtent b="0" l="0" r="0" t="0"/>
            <wp:docPr descr="" title="" id="96" name="Picture"/>
            <a:graphic>
              <a:graphicData uri="http://schemas.openxmlformats.org/drawingml/2006/picture">
                <pic:pic>
                  <pic:nvPicPr>
                    <pic:cNvPr descr="images/segmentoFNAfaseII.jpg" id="97"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98">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9"/>
    <w:bookmarkStart w:id="100"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0"/>
    <w:bookmarkStart w:id="101"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1"/>
    <w:bookmarkStart w:id="111"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2"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2"/>
    <w:bookmarkStart w:id="103"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3"/>
    <w:bookmarkStart w:id="104"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104"/>
    <w:bookmarkStart w:id="105" w:name="valor-2"/>
    <w:p>
      <w:pPr>
        <w:pStyle w:val="Ttulo3"/>
      </w:pPr>
      <w:r>
        <w:t xml:space="preserve">Valor</w:t>
      </w:r>
    </w:p>
    <w:p>
      <w:pPr>
        <w:pStyle w:val="FirstParagraph"/>
      </w:pPr>
      <w:r>
        <w:rPr>
          <w:iCs/>
          <w:i/>
        </w:rPr>
        <w:t xml:space="preserve">Guía: cuál es el valor que este flujo genera para el FNA.</w:t>
      </w:r>
    </w:p>
    <w:bookmarkEnd w:id="105"/>
    <w:bookmarkStart w:id="106"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6"/>
    <w:bookmarkStart w:id="107"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7"/>
    <w:bookmarkStart w:id="110"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Start w:id="0" w:name="tbl:1"/>
    <w:bookmarkStart w:id="108" w:name="tbl:1"/>
    <w:p>
      <w:pPr>
        <w:pStyle w:val="TableCaption"/>
      </w:pPr>
      <w:r>
        <w:t xml:space="preserve">Table 2: Demonstration of a simple table.</w:t>
      </w:r>
      <w:r>
        <w:t xml:space="preserve"> </w:t>
      </w:r>
    </w:p>
    <w:tbl>
      <w:tblPr>
        <w:tblStyle w:val="Table"/>
        <w:tblW w:type="auto" w:w="0"/>
        <w:tblLook w:firstRow="1" w:lastRow="0" w:firstColumn="0" w:lastColumn="0" w:noHBand="0" w:noVBand="0" w:val="0020"/>
        <w:tblCaption w:val="Table 2: Demonstration of a simple table. "/>
      </w:tblPr>
      <w:tblGrid>
        <w:gridCol w:w="1980"/>
        <w:gridCol w:w="1980"/>
        <w:gridCol w:w="1980"/>
        <w:gridCol w:w="1980"/>
      </w:tblGrid>
      <w:tr>
        <w:trPr>
          <w:tblHeader w:val="true"/>
        </w:trPr>
        <w:tc>
          <w:tcPr/>
          <w:p>
            <w:pPr>
              <w:pStyle w:val="Compact"/>
              <w:jc w:val="right"/>
            </w:pPr>
            <w:r>
              <w:t xml:space="preserve">Right</w:t>
            </w:r>
          </w:p>
        </w:tc>
        <w:tc>
          <w:tcPr/>
          <w:p>
            <w:pPr>
              <w:pStyle w:val="Compact"/>
              <w:jc w:val="left"/>
            </w:pPr>
            <w:r>
              <w:t xml:space="preserve">Left</w:t>
            </w:r>
          </w:p>
        </w:tc>
        <w:tc>
          <w:tcPr/>
          <w:p>
            <w:pPr>
              <w:pStyle w:val="Compact"/>
              <w:jc w:val="center"/>
            </w:pPr>
            <w:r>
              <w:t xml:space="preserve">Center</w:t>
            </w:r>
          </w:p>
        </w:tc>
        <w:tc>
          <w:tcPr/>
          <w:p>
            <w:pPr>
              <w:pStyle w:val="Compact"/>
              <w:jc w:val="left"/>
            </w:pPr>
            <w:r>
              <w:t xml:space="preserve">Default</w:t>
            </w:r>
          </w:p>
        </w:tc>
      </w:tr>
      <w:tr>
        <w:tc>
          <w:tcPr/>
          <w:p>
            <w:pPr>
              <w:pStyle w:val="Compact"/>
              <w:jc w:val="right"/>
            </w:pPr>
            <w:r>
              <w:t xml:space="preserve">12</w:t>
            </w:r>
          </w:p>
        </w:tc>
        <w:tc>
          <w:tcPr/>
          <w:p>
            <w:pPr>
              <w:pStyle w:val="Compact"/>
              <w:jc w:val="left"/>
            </w:pPr>
            <w:r>
              <w:t xml:space="preserve">12</w:t>
            </w:r>
          </w:p>
        </w:tc>
        <w:tc>
          <w:tcPr/>
          <w:p>
            <w:pPr>
              <w:pStyle w:val="Compact"/>
              <w:jc w:val="center"/>
            </w:pPr>
            <w:r>
              <w:t xml:space="preserve">12</w:t>
            </w:r>
          </w:p>
        </w:tc>
        <w:tc>
          <w:tcPr/>
          <w:p>
            <w:pPr>
              <w:pStyle w:val="Compact"/>
              <w:jc w:val="left"/>
            </w:pPr>
            <w:r>
              <w:t xml:space="preserve">12</w:t>
            </w:r>
          </w:p>
        </w:tc>
      </w:tr>
      <w:tr>
        <w:tc>
          <w:tcPr/>
          <w:p>
            <w:pPr>
              <w:pStyle w:val="Compact"/>
              <w:jc w:val="right"/>
            </w:pPr>
            <w:r>
              <w:t xml:space="preserve">123</w:t>
            </w:r>
          </w:p>
        </w:tc>
        <w:tc>
          <w:tcPr/>
          <w:p>
            <w:pPr>
              <w:pStyle w:val="Compact"/>
              <w:jc w:val="left"/>
            </w:pPr>
            <w:r>
              <w:t xml:space="preserve">123</w:t>
            </w:r>
          </w:p>
        </w:tc>
        <w:tc>
          <w:tcPr/>
          <w:p>
            <w:pPr>
              <w:pStyle w:val="Compact"/>
              <w:jc w:val="center"/>
            </w:pPr>
            <w:r>
              <w:t xml:space="preserve">123</w:t>
            </w:r>
          </w:p>
        </w:tc>
        <w:tc>
          <w:tcPr/>
          <w:p>
            <w:pPr>
              <w:pStyle w:val="Compact"/>
              <w:jc w:val="left"/>
            </w:pPr>
            <w:r>
              <w:t xml:space="preserve">123</w:t>
            </w:r>
          </w:p>
        </w:tc>
      </w:tr>
      <w:tr>
        <w:tc>
          <w:tcPr/>
          <w:p>
            <w:pPr>
              <w:pStyle w:val="Compact"/>
              <w:jc w:val="right"/>
            </w:pPr>
            <w:r>
              <w:t xml:space="preserve">1</w:t>
            </w:r>
          </w:p>
        </w:tc>
        <w:tc>
          <w:tcPr/>
          <w:p>
            <w:pPr>
              <w:pStyle w:val="Compact"/>
              <w:jc w:val="left"/>
            </w:pPr>
            <w:r>
              <w:t xml:space="preserve">1</w:t>
            </w:r>
          </w:p>
        </w:tc>
        <w:tc>
          <w:tcPr/>
          <w:p>
            <w:pPr>
              <w:pStyle w:val="Compact"/>
              <w:jc w:val="center"/>
            </w:pPr>
            <w:r>
              <w:t xml:space="preserve">1</w:t>
            </w:r>
          </w:p>
        </w:tc>
        <w:tc>
          <w:tcPr/>
          <w:p>
            <w:pPr>
              <w:pStyle w:val="Compact"/>
              <w:jc w:val="left"/>
            </w:pPr>
            <w:r>
              <w:t xml:space="preserve">1</w:t>
            </w:r>
          </w:p>
        </w:tc>
      </w:tr>
    </w:tbl>
    <w:bookmarkEnd w:id="108"/>
    <w:bookmarkEnd w:id="0"/>
    <w:p>
      <w:pPr>
        <w:pStyle w:val="Textoindependiente"/>
      </w:pPr>
      <w:r>
        <w:t xml:space="preserve">Table</w:t>
      </w:r>
      <w:r>
        <w:t xml:space="preserve"> </w:t>
      </w:r>
      <w:hyperlink w:anchor="tbl:1">
        <w:r>
          <w:rPr>
            <w:rStyle w:val="Hipervnculo"/>
          </w:rPr>
          <w:t xml:space="preserve">2</w:t>
        </w:r>
      </w:hyperlink>
      <w:r>
        <w:t xml:space="preserve"> </w:t>
      </w:r>
      <w:r>
        <w:t xml:space="preserve">is from the Pandoc User’s Guide. A simpler table is given by table ??:</w:t>
      </w:r>
    </w:p>
    <w:bookmarkStart w:id="0" w:name="tbl:44420370-d08e-4902-9e9a-4025cf9d1858"/>
    <w:bookmarkStart w:id="109" w:name="tbl:"/>
    <w:p>
      <w:pPr>
        <w:pStyle w:val="TableCaption"/>
      </w:pPr>
      <w:r>
        <w:t xml:space="preserve">Table 3: Even simpler.</w:t>
      </w:r>
      <w:r>
        <w:t xml:space="preserve"> </w:t>
      </w:r>
    </w:p>
    <w:tbl>
      <w:tblPr>
        <w:tblStyle w:val="Table"/>
        <w:tblW w:type="auto" w:w="0"/>
        <w:tblLook w:firstRow="1" w:lastRow="0" w:firstColumn="0" w:lastColumn="0" w:noHBand="0" w:noVBand="0" w:val="0020"/>
        <w:tblCaption w:val="Table 3: Even simpler. "/>
      </w:tblPr>
      <w:tblGrid>
        <w:gridCol w:w="3960"/>
        <w:gridCol w:w="3960"/>
      </w:tblGrid>
      <w:tr>
        <w:trPr>
          <w:tblHeader w:val="true"/>
        </w:trPr>
        <w:tc>
          <w:tcPr/>
          <w:p>
            <w:pPr>
              <w:pStyle w:val="Compact"/>
              <w:jc w:val="left"/>
            </w:pPr>
            <w:r>
              <w:t xml:space="preserve">A</w:t>
            </w:r>
          </w:p>
        </w:tc>
        <w:tc>
          <w:tcPr/>
          <w:p>
            <w:pPr>
              <w:pStyle w:val="Compact"/>
              <w:jc w:val="left"/>
            </w:pPr>
            <w:r>
              <w:t xml:space="preserve">B</w:t>
            </w:r>
          </w:p>
        </w:tc>
      </w:tr>
      <w:tr>
        <w:tc>
          <w:tcPr/>
          <w:p>
            <w:pPr>
              <w:pStyle w:val="Compact"/>
              <w:jc w:val="left"/>
            </w:pPr>
            <w:r>
              <w:t xml:space="preserve">0</w:t>
            </w:r>
          </w:p>
        </w:tc>
        <w:tc>
          <w:tcPr/>
          <w:p>
            <w:pPr>
              <w:pStyle w:val="Compact"/>
              <w:jc w:val="left"/>
            </w:pPr>
            <w:r>
              <w:t xml:space="preserve">1</w:t>
            </w:r>
          </w:p>
        </w:tc>
      </w:tr>
    </w:tbl>
    <w:bookmarkEnd w:id="109"/>
    <w:bookmarkEnd w:id="0"/>
    <w:p>
      <w:r>
        <w:pict>
          <v:rect style="width:0;height:1.5pt" o:hralign="center" o:hrstd="t" o:hr="t"/>
        </w:pict>
      </w:r>
    </w:p>
    <w:bookmarkEnd w:id="110"/>
    <w:bookmarkEnd w:id="111"/>
    <w:bookmarkStart w:id="115" w:name="referencias"/>
    <w:p>
      <w:pPr>
        <w:pStyle w:val="Ttulo2"/>
      </w:pPr>
      <w:r>
        <w:t xml:space="preserve">Referencias</w:t>
      </w:r>
    </w:p>
    <w:bookmarkStart w:id="112" w:name="refs"/>
    <w:p>
      <w:pPr>
        <w:pStyle w:val="Bibliography"/>
      </w:pPr>
      <w:r>
        <w:t xml:space="preserve">E-Service. Situación SOA Actual del FNA. Etapa I. (2022).</w:t>
      </w:r>
    </w:p>
    <w:bookmarkEnd w:id="112"/>
    <w:bookmarkStart w:id="113" w:name="refs"/>
    <w:p>
      <w:pPr>
        <w:pStyle w:val="Bibliography"/>
      </w:pPr>
      <w:r>
        <w:t xml:space="preserve">E-Service. Arquitectura de Referencia del FNA. Etapa II. (2023).</w:t>
      </w:r>
    </w:p>
    <w:bookmarkEnd w:id="113"/>
    <w:bookmarkStart w:id="114" w:name="refs"/>
    <w:p>
      <w:pPr>
        <w:pStyle w:val="Bibliography"/>
      </w:pPr>
      <w:r>
        <w:t xml:space="preserve">E-Service. Hoja de Ruta e Iniciativas. Etapa III. (2023).</w:t>
      </w:r>
    </w:p>
    <w:bookmarkEnd w:id="114"/>
    <w:bookmarkEnd w:id="115"/>
    <w:bookmarkEnd w:id="11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98"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4d0524c484f80a0e0dbbf09a2c9bfa11361153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98"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4d0524c484f80a0e0dbbf09a2c9bfa11361153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2023-06-06T18:14:40Z</dcterms:created>
  <dcterms:modified xsi:type="dcterms:W3CDTF">2023-06-06T18:14:40Z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