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2.jpg" ContentType="image/jpeg"/>
  <Override PartName="/word/media/rId53.png" ContentType="image/png"/>
  <Override PartName="/word/media/rId56.png" ContentType="image/png"/>
  <Override PartName="/word/media/rId37.jpg" ContentType="image/jpeg"/>
  <Override PartName="/word/media/rId5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STEF@97d9a99</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1.97d9a99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1.97d9a99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1.97d9a99</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1.97d9a99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63" w:name="Xfec879a391e4be25250b3f76a221c11ca8d002a"/>
    <w:p>
      <w:pPr>
        <w:pStyle w:val="Ttulo1"/>
      </w:pPr>
      <w:r>
        <w:t xml:space="preserve">Vista de Contexto Fase II, E-Service, 2023 (181-2020)</w:t>
      </w:r>
    </w:p>
    <w:bookmarkStart w:id="46"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hyperlink r:id="rId41">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bookmarkStart w:id="0" w:name="fig:419bff7e-a73e-4bf6-8e1d-fbd2342e4825"/>
    <w:p>
      <w:pPr>
        <w:pStyle w:val="CaptionedFigure"/>
      </w:pPr>
      <w:bookmarkStart w:id="44" w:name="fig:"/>
      <w:r>
        <w:drawing>
          <wp:inline>
            <wp:extent cx="5600700" cy="6506407"/>
            <wp:effectExtent b="0" l="0" r="0" t="0"/>
            <wp:docPr descr="Imagen 2: Elementos de la arquitectura del FNA, la empresa, involucrados e impactados por el proyecto actual. Muestra además la relación indirecta con otras partes de la empresa, externas a la vista de contexto." title="" id="42" name="Picture"/>
            <a:graphic>
              <a:graphicData uri="http://schemas.openxmlformats.org/drawingml/2006/picture">
                <pic:pic>
                  <pic:nvPicPr>
                    <pic:cNvPr descr="images/segmentoFNAfaseII.jpg" id="43"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4"/>
    </w:p>
    <w:p>
      <w:pPr>
        <w:pStyle w:val="ImageCaption"/>
      </w:pPr>
      <w:r>
        <w:t xml:space="preserve">Imagen 2: Elementos de la arquitectura del FNA, la empresa, involucrados e impactados por el proyecto actual. Muestra además la relación indirecta con otras partes de la empresa, externas a la vista de contexto.</w:t>
      </w:r>
    </w:p>
    <w:bookmarkEnd w:id="0"/>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5">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6"/>
    <w:bookmarkStart w:id="51"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7"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7"/>
    <w:bookmarkStart w:id="48"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8"/>
    <w:bookmarkStart w:id="49"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9"/>
    <w:bookmarkStart w:id="50"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1.97d9a99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 </w:t>
            </w:r>
            <w:hyperlink r:id="rId34">
              <w:r>
                <w:rPr>
                  <w:rStyle w:val="Hipervnculo"/>
                </w:rPr>
                <w:t xml:space="preserve">Resultados y métricas del diagnóstico de madurez SOA</w:t>
              </w:r>
            </w:hyperlink>
          </w:p>
        </w:tc>
      </w:tr>
    </w:tbl>
    <w:p>
      <w:pPr>
        <w:pStyle w:val="Textoindependiente"/>
      </w:pPr>
    </w:p>
    <w:bookmarkEnd w:id="50"/>
    <w:bookmarkEnd w:id="51"/>
    <w:bookmarkStart w:id="62"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5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54" name="Picture"/>
                  <a:graphic>
                    <a:graphicData uri="http://schemas.openxmlformats.org/drawingml/2006/picture">
                      <pic:pic>
                        <pic:nvPicPr>
                          <pic:cNvPr descr="images/madurezInfo.png" id="55" name="Picture"/>
                          <pic:cNvPicPr>
                            <a:picLocks noChangeArrowheads="1" noChangeAspect="1"/>
                          </pic:cNvPicPr>
                        </pic:nvPicPr>
                        <pic:blipFill>
                          <a:blip r:embed="rId5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7" name="Picture"/>
                  <a:graphic>
                    <a:graphicData uri="http://schemas.openxmlformats.org/drawingml/2006/picture">
                      <pic:pic>
                        <pic:nvPicPr>
                          <pic:cNvPr descr="images/madurezInfo_graf.png" id="58" name="Picture"/>
                          <pic:cNvPicPr>
                            <a:picLocks noChangeArrowheads="1" noChangeAspect="1"/>
                          </pic:cNvPicPr>
                        </pic:nvPicPr>
                        <pic:blipFill>
                          <a:blip r:embed="rId5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1">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60" name="Picture"/>
            <a:graphic>
              <a:graphicData uri="http://schemas.openxmlformats.org/drawingml/2006/picture">
                <pic:pic>
                  <pic:nvPicPr>
                    <pic:cNvPr descr="images/vistacapacidadesfna.jpg" id="61" name="Picture"/>
                    <pic:cNvPicPr>
                      <a:picLocks noChangeArrowheads="1" noChangeAspect="1"/>
                    </pic:cNvPicPr>
                  </pic:nvPicPr>
                  <pic:blipFill>
                    <a:blip r:embed="rId59"/>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1">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1.97d9a99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2"/>
    <w:bookmarkEnd w:id="63"/>
    <w:bookmarkStart w:id="85"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4"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4"/>
    <w:bookmarkStart w:id="76"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5"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5"/>
    <w:bookmarkStart w:id="66"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6"/>
    <w:bookmarkStart w:id="67"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El aplicativo core envía la petición de biometria - el operador biometrico responde con un hit o no (hit: la persona es quien dice ser)</w:t>
      </w:r>
    </w:p>
    <w:p>
      <w:pPr>
        <w:pStyle w:val="FirstParagraph"/>
      </w:pPr>
      <w:r>
        <w:rPr>
          <w:bCs/>
          <w:b/>
        </w:rPr>
        <w:t xml:space="preserve">Notas</w:t>
      </w:r>
      <w:r>
        <w:t xml:space="preserve">: excepcion de los casos de uso, exhaustividad de las pruebas, la confiabilidad de las pruebas, Malla de calidad de las pruebas, fortalecimiento de diseño, categoria: Alta</w:t>
      </w:r>
      <w:r>
        <w:t xml:space="preserve"> </w:t>
      </w:r>
      <w:r>
        <w:t xml:space="preserve">caso de uso: excepciones.</w:t>
      </w:r>
    </w:p>
    <w:bookmarkEnd w:id="67"/>
    <w:bookmarkStart w:id="68" w:name="valor"/>
    <w:p>
      <w:pPr>
        <w:pStyle w:val="Ttulo3"/>
      </w:pPr>
      <w:r>
        <w:t xml:space="preserve">Valor</w:t>
      </w:r>
    </w:p>
    <w:p>
      <w:pPr>
        <w:pStyle w:val="FirstParagraph"/>
      </w:pPr>
      <w:r>
        <w:t xml:space="preserve">El valor es alto, debido a que afecta al consumidor financiero en el retiro de las cesantias</w:t>
      </w:r>
    </w:p>
    <w:bookmarkEnd w:id="68"/>
    <w:bookmarkStart w:id="69" w:name="seguimiento"/>
    <w:p>
      <w:pPr>
        <w:pStyle w:val="Ttulo3"/>
      </w:pPr>
      <w:r>
        <w:t xml:space="preserve">Seguimiento</w:t>
      </w:r>
    </w:p>
    <w:p>
      <w:pPr>
        <w:pStyle w:val="FirstParagraph"/>
      </w:pPr>
      <w:r>
        <w:t xml:space="preserve">El seguimiento se realiza diariamente con la conciliación aplicada por el área usuaria.</w:t>
      </w:r>
    </w:p>
    <w:bookmarkEnd w:id="69"/>
    <w:bookmarkStart w:id="70"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70"/>
    <w:bookmarkStart w:id="71" w:name="repetición"/>
    <w:p>
      <w:pPr>
        <w:pStyle w:val="Ttulo3"/>
      </w:pPr>
      <w:r>
        <w:t xml:space="preserve">Repetición</w:t>
      </w:r>
    </w:p>
    <w:p>
      <w:pPr>
        <w:pStyle w:val="FirstParagraph"/>
      </w:pPr>
      <w:r>
        <w:t xml:space="preserve">Implementar un buen diseño en la aplicacion y malla de calidad en la pruebas.</w:t>
      </w:r>
    </w:p>
    <w:bookmarkEnd w:id="71"/>
    <w:bookmarkStart w:id="75" w:name="anexo.-diagrama-del-flujo"/>
    <w:p>
      <w:pPr>
        <w:pStyle w:val="Ttulo3"/>
      </w:pPr>
      <w:r>
        <w:t xml:space="preserve">Anexo. Diagrama del flujo</w:t>
      </w:r>
    </w:p>
    <w:p>
      <w:pPr>
        <w:pStyle w:val="Figure"/>
      </w:pPr>
      <w:r>
        <w:drawing>
          <wp:inline>
            <wp:extent cx="5600700" cy="2725436"/>
            <wp:effectExtent b="0" l="0" r="0" t="0"/>
            <wp:docPr descr="" title="" id="73" name="Picture"/>
            <a:graphic>
              <a:graphicData uri="http://schemas.openxmlformats.org/drawingml/2006/picture">
                <pic:pic>
                  <pic:nvPicPr>
                    <pic:cNvPr descr="images/flujoBiometriafna.jpg" id="74" name="Picture"/>
                    <pic:cNvPicPr>
                      <a:picLocks noChangeArrowheads="1" noChangeAspect="1"/>
                    </pic:cNvPicPr>
                  </pic:nvPicPr>
                  <pic:blipFill>
                    <a:blip r:embed="rId72"/>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1">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5"/>
    <w:bookmarkEnd w:id="76"/>
    <w:bookmarkStart w:id="84" w:name="X2bbfd86fa9097463c57181e57f741b319d39c9e"/>
    <w:p>
      <w:pPr>
        <w:pStyle w:val="Ttulo2"/>
      </w:pPr>
      <w:r>
        <w:t xml:space="preserve">CCF. Flujo Crítico Trabajo: 02. Inversieon TI</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Fondo Nacional del Ahorro</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77"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77"/>
    <w:bookmarkStart w:id="78"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78"/>
    <w:bookmarkStart w:id="79"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bookmarkEnd w:id="79"/>
    <w:bookmarkStart w:id="80"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0"/>
    <w:bookmarkStart w:id="81"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81"/>
    <w:bookmarkStart w:id="82"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82"/>
    <w:bookmarkStart w:id="83" w:name="repetición-1"/>
    <w:p>
      <w:pPr>
        <w:pStyle w:val="Ttulo3"/>
      </w:pPr>
      <w:r>
        <w:t xml:space="preserve">Repetición</w:t>
      </w:r>
    </w:p>
    <w:p>
      <w:pPr>
        <w:pStyle w:val="FirstParagraph"/>
      </w:pPr>
      <w:r>
        <w:t xml:space="preserve">El flujo es repetible en virtud de la Ley 80.</w:t>
      </w:r>
    </w:p>
    <w:p>
      <w:r>
        <w:pict>
          <v:rect style="width:0;height:1.5pt" o:hralign="center" o:hrstd="t" o:hr="t"/>
        </w:pict>
      </w:r>
    </w:p>
    <w:bookmarkEnd w:id="83"/>
    <w:bookmarkEnd w:id="84"/>
    <w:bookmarkEnd w:id="85"/>
    <w:bookmarkStart w:id="108" w:name="anexos-del-producto-1-pr01"/>
    <w:p>
      <w:pPr>
        <w:pStyle w:val="Ttulo1"/>
      </w:pPr>
      <w:r>
        <w:t xml:space="preserve">Anexos del Producto 1 (PR01)</w:t>
      </w:r>
    </w:p>
    <w:bookmarkStart w:id="88" w:name="vista-de-segmento-del-proyecto"/>
    <w:p>
      <w:pPr>
        <w:pStyle w:val="Ttulo2"/>
      </w:pPr>
      <w:r>
        <w:t xml:space="preserve">1. Vista de Segmento del Proyecto</w:t>
      </w:r>
    </w:p>
    <w:p>
      <w:pPr>
        <w:pStyle w:val="Figure"/>
      </w:pPr>
      <w:r>
        <w:drawing>
          <wp:inline>
            <wp:extent cx="5600700" cy="6506407"/>
            <wp:effectExtent b="0" l="0" r="0" t="0"/>
            <wp:docPr descr="" title="" id="86" name="Picture"/>
            <a:graphic>
              <a:graphicData uri="http://schemas.openxmlformats.org/drawingml/2006/picture">
                <pic:pic>
                  <pic:nvPicPr>
                    <pic:cNvPr descr="images/segmentoFNAfaseII.jpg" id="87"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1">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8"/>
    <w:bookmarkStart w:id="89"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9"/>
    <w:bookmarkStart w:id="90"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90"/>
    <w:bookmarkStart w:id="98" w:name="ccf"/>
    <w:p>
      <w:pPr>
        <w:pStyle w:val="Ttulo2"/>
      </w:pPr>
      <w:r>
        <w:t xml:space="preserve">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1"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1"/>
    <w:bookmarkStart w:id="92"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2"/>
    <w:bookmarkStart w:id="93"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1. paso 1</w:t>
      </w:r>
      <w:r>
        <w:t xml:space="preserve"> </w:t>
      </w:r>
      <w:r>
        <w:t xml:space="preserve">1. paso 2</w:t>
      </w:r>
      <w:r>
        <w:t xml:space="preserve"> </w:t>
      </w:r>
      <w:r>
        <w:t xml:space="preserve">1.</w:t>
      </w:r>
      <w:r>
        <w:t xml:space="preserve"> </w:t>
      </w:r>
      <w:r>
        <w:t xml:space="preserve">1.</w:t>
      </w:r>
    </w:p>
    <w:bookmarkEnd w:id="93"/>
    <w:bookmarkStart w:id="94" w:name="valor-2"/>
    <w:p>
      <w:pPr>
        <w:pStyle w:val="Ttulo3"/>
      </w:pPr>
      <w:r>
        <w:t xml:space="preserve">Valor</w:t>
      </w:r>
    </w:p>
    <w:p>
      <w:pPr>
        <w:pStyle w:val="FirstParagraph"/>
      </w:pPr>
      <w:r>
        <w:rPr>
          <w:iCs/>
          <w:i/>
        </w:rPr>
        <w:t xml:space="preserve">Guía: cuál es el valor que este flujo genera para el FNA.</w:t>
      </w:r>
    </w:p>
    <w:bookmarkEnd w:id="94"/>
    <w:bookmarkStart w:id="95"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95"/>
    <w:bookmarkStart w:id="96"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96"/>
    <w:bookmarkStart w:id="97"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bookmarkEnd w:id="97"/>
    <w:bookmarkEnd w:id="98"/>
    <w:bookmarkStart w:id="105"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99" w:name="atención-3"/>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99"/>
    <w:bookmarkStart w:id="100" w:name="arquitectura-3"/>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100"/>
    <w:bookmarkStart w:id="101" w:name="valor-3"/>
    <w:p>
      <w:pPr>
        <w:pStyle w:val="Ttulo3"/>
      </w:pPr>
      <w:r>
        <w:t xml:space="preserve">Valor</w:t>
      </w:r>
    </w:p>
    <w:p>
      <w:pPr>
        <w:pStyle w:val="FirstParagraph"/>
      </w:pPr>
      <w:r>
        <w:t xml:space="preserve">El valor es alto, debido a que afecta al Consumidor financiero en el retiro de las cesantias</w:t>
      </w:r>
    </w:p>
    <w:bookmarkEnd w:id="101"/>
    <w:bookmarkStart w:id="102" w:name="seguimiento-3"/>
    <w:p>
      <w:pPr>
        <w:pStyle w:val="Ttulo3"/>
      </w:pPr>
      <w:r>
        <w:t xml:space="preserve">Seguimiento</w:t>
      </w:r>
    </w:p>
    <w:p>
      <w:pPr>
        <w:pStyle w:val="FirstParagraph"/>
      </w:pPr>
      <w:r>
        <w:t xml:space="preserve">El seguimiento se realiza diariamente con la conciliacion aplicada por el area usuaria</w:t>
      </w:r>
    </w:p>
    <w:bookmarkEnd w:id="102"/>
    <w:bookmarkStart w:id="103" w:name="entrega-3"/>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3"/>
    <w:bookmarkStart w:id="104" w:name="repetición-3"/>
    <w:p>
      <w:pPr>
        <w:pStyle w:val="Ttulo3"/>
      </w:pPr>
      <w:r>
        <w:t xml:space="preserve">Repetición</w:t>
      </w:r>
    </w:p>
    <w:p>
      <w:pPr>
        <w:pStyle w:val="FirstParagraph"/>
      </w:pPr>
      <w:r>
        <w:t xml:space="preserve">_Guía: Implementar un buen diseño en la aplicacion y malla de calidad en la pruebas</w:t>
      </w:r>
    </w:p>
    <w:bookmarkEnd w:id="104"/>
    <w:bookmarkEnd w:id="105"/>
    <w:bookmarkStart w:id="107" w:name="referencias"/>
    <w:p>
      <w:pPr>
        <w:pStyle w:val="Ttulo2"/>
      </w:pPr>
      <w:r>
        <w:t xml:space="preserve">Referencias</w:t>
      </w:r>
    </w:p>
    <w:bookmarkStart w:id="106" w:name="refs"/>
    <w:p>
      <w:pPr>
        <w:pStyle w:val="Bibliography"/>
      </w:pPr>
      <w:r>
        <w:t xml:space="preserve">E-Service. Fase I. (2022).</w:t>
      </w:r>
    </w:p>
    <w:bookmarkEnd w:id="106"/>
    <w:bookmarkEnd w:id="107"/>
    <w:bookmarkEnd w:id="10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2" Target="media/rId72.jp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37" Target="media/rId37.jpg" /><Relationship Type="http://schemas.openxmlformats.org/officeDocument/2006/relationships/image" Id="rId59" Target="media/rId59.jpg" /><Relationship Type="http://schemas.openxmlformats.org/officeDocument/2006/relationships/hyperlink" Id="rId41" Target="" TargetMode="External" /><Relationship Type="http://schemas.openxmlformats.org/officeDocument/2006/relationships/hyperlink" Id="rId29" Target="N03a%a20Vsta%20aSegenta%20SOA%20FNA.md" TargetMode="External" /><Relationship Type="http://schemas.openxmlformats.org/officeDocument/2006/relationships/hyperlink" Id="rId45"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7d9a99a8de2cbd77620e8bda64b35e9f15ab5c9/"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1" Target="" TargetMode="External" /><Relationship Type="http://schemas.openxmlformats.org/officeDocument/2006/relationships/hyperlink" Id="rId29" Target="N03a%a20Vsta%20aSegenta%20SOA%20FNA.md" TargetMode="External" /><Relationship Type="http://schemas.openxmlformats.org/officeDocument/2006/relationships/hyperlink" Id="rId45"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7d9a99a8de2cbd77620e8bda64b35e9f15ab5c9/"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2023-06-05T03:01:21Z</dcterms:created>
  <dcterms:modified xsi:type="dcterms:W3CDTF">2023-06-05T03:01:21Z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