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jpg" ContentType="image/jpeg"/>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hwong23/fna-dd-f2-pry1@9d1f996</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1.9d1f996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1.9d1f996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SourceCode"/>
      </w:pPr>
      <w:r>
        <w:rPr>
          <w:rStyle w:val="VerbatimChar"/>
        </w:rPr>
        <w:t xml:space="preserve">  Contrato 1812020</w:t>
      </w:r>
    </w:p>
    <w:p>
      <w:pPr>
        <w:pStyle w:val="SourceCode"/>
      </w:pPr>
      <w:r>
        <w:rPr>
          <w:rStyle w:val="VerbatimChar"/>
        </w:rPr>
        <w:t xml:space="preserve">  FNA, Stefanini</w:t>
      </w:r>
    </w:p>
    <w:p>
      <w:pPr>
        <w:pStyle w:val="SourceCode"/>
      </w:pPr>
      <w:r>
        <w:rPr>
          <w:rStyle w:val="VerbatimChar"/>
        </w:rPr>
        <w:t xml:space="preserve">  04 Jun 2023</w:t>
      </w:r>
      <w:r>
        <w:br/>
      </w:r>
      <w:r>
        <w:br/>
      </w:r>
      <w:r>
        <w:rPr>
          <w:rStyle w:val="VerbatimChar"/>
        </w:rPr>
        <w:t xml:space="preserve">  **Version** 1.9d1f996</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1.9d1f996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1.9d1f996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1.9d1f996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72"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0"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0"/>
    <w:bookmarkStart w:id="71" w:name="ccf"/>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61"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61"/>
    <w:bookmarkStart w:id="62" w:name="arquitectura"/>
    <w:p>
      <w:pPr>
        <w:pStyle w:val="Ttulo3"/>
      </w:pPr>
      <w:r>
        <w:t xml:space="preserve">Arquitectura</w:t>
      </w:r>
    </w:p>
    <w:p>
      <w:pPr>
        <w:numPr>
          <w:ilvl w:val="0"/>
          <w:numId w:val="1009"/>
        </w:numPr>
        <w:pStyle w:val="Compact"/>
      </w:pPr>
      <w:r>
        <w:t xml:space="preserve">paso 1 cobis envia un ID al operador biometrico</w:t>
      </w:r>
    </w:p>
    <w:p>
      <w:pPr>
        <w:numPr>
          <w:ilvl w:val="0"/>
          <w:numId w:val="1009"/>
        </w:numPr>
        <w:pStyle w:val="Compact"/>
      </w:pPr>
      <w:r>
        <w:t xml:space="preserve">paso 2 el operador biometrico responde el ID</w:t>
      </w:r>
    </w:p>
    <w:p>
      <w:pPr>
        <w:numPr>
          <w:ilvl w:val="0"/>
          <w:numId w:val="1009"/>
        </w:numPr>
        <w:pStyle w:val="Compact"/>
      </w:pPr>
      <w:r>
        <w:t xml:space="preserve">paso 3 El operador levanta el servicio</w:t>
      </w:r>
    </w:p>
    <w:p>
      <w:pPr>
        <w:numPr>
          <w:ilvl w:val="0"/>
          <w:numId w:val="1009"/>
        </w:numPr>
        <w:pStyle w:val="Compact"/>
      </w:pPr>
      <w:r>
        <w:t xml:space="preserve">paso 4 El aplicativo core envía la petición de biometria</w:t>
      </w:r>
    </w:p>
    <w:p>
      <w:pPr>
        <w:numPr>
          <w:ilvl w:val="0"/>
          <w:numId w:val="1009"/>
        </w:numPr>
        <w:pStyle w:val="Compact"/>
      </w:pPr>
      <w:r>
        <w:t xml:space="preserve">el operador biometrico responde con un hit o no hit (hit que quiere decir que la persona es quien dice ser, no hit no es quien dice ser)</w:t>
      </w:r>
    </w:p>
    <w:p>
      <w:pPr>
        <w:pStyle w:val="FirstParagraph"/>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62"/>
    <w:bookmarkStart w:id="63" w:name="valor"/>
    <w:p>
      <w:pPr>
        <w:pStyle w:val="Ttulo3"/>
      </w:pPr>
      <w:r>
        <w:t xml:space="preserve">Valor</w:t>
      </w:r>
    </w:p>
    <w:p>
      <w:pPr>
        <w:pStyle w:val="FirstParagraph"/>
      </w:pPr>
      <w:r>
        <w:t xml:space="preserve">El valor es alto, debido a que afecta al Consumidor financiero en el retiro de las cesantias</w:t>
      </w:r>
    </w:p>
    <w:bookmarkEnd w:id="63"/>
    <w:bookmarkStart w:id="64" w:name="seguimiento"/>
    <w:p>
      <w:pPr>
        <w:pStyle w:val="Ttulo3"/>
      </w:pPr>
      <w:r>
        <w:t xml:space="preserve">Seguimiento</w:t>
      </w:r>
    </w:p>
    <w:p>
      <w:pPr>
        <w:pStyle w:val="FirstParagraph"/>
      </w:pPr>
      <w:r>
        <w:t xml:space="preserve">El seguimiento se realiza diariamente con la conciliacion aplicada por el area usuaria</w:t>
      </w:r>
    </w:p>
    <w:bookmarkEnd w:id="64"/>
    <w:bookmarkStart w:id="65" w:name="entrega"/>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65"/>
    <w:bookmarkStart w:id="66" w:name="repetición"/>
    <w:p>
      <w:pPr>
        <w:pStyle w:val="Ttulo3"/>
      </w:pPr>
      <w:r>
        <w:t xml:space="preserve">Repetición</w:t>
      </w:r>
    </w:p>
    <w:p>
      <w:pPr>
        <w:pStyle w:val="FirstParagraph"/>
      </w:pPr>
      <w:r>
        <w:rPr>
          <w:iCs/>
          <w:i/>
        </w:rPr>
        <w:t xml:space="preserve">Guía: Implementar un buen diseño en la aplicacion y malla de calidad en la pruebas</w:t>
      </w:r>
    </w:p>
    <w:bookmarkEnd w:id="66"/>
    <w:bookmarkStart w:id="70" w:name="anexo.-diagrama-del-flujo"/>
    <w:p>
      <w:pPr>
        <w:pStyle w:val="Ttulo3"/>
      </w:pPr>
      <w:r>
        <w:t xml:space="preserve">Anexo. Diagrama del flujo</w:t>
      </w:r>
    </w:p>
    <w:p>
      <w:pPr>
        <w:pStyle w:val="Figure"/>
      </w:pPr>
      <w:r>
        <w:drawing>
          <wp:inline>
            <wp:extent cx="5600700" cy="2725436"/>
            <wp:effectExtent b="0" l="0" r="0" t="0"/>
            <wp:docPr descr="" title="" id="68" name="Picture"/>
            <a:graphic>
              <a:graphicData uri="http://schemas.openxmlformats.org/drawingml/2006/picture">
                <pic:pic>
                  <pic:nvPicPr>
                    <pic:cNvPr descr="images/flujoBiometriafna.jpg" id="69" name="Picture"/>
                    <pic:cNvPicPr>
                      <a:picLocks noChangeArrowheads="1" noChangeAspect="1"/>
                    </pic:cNvPicPr>
                  </pic:nvPicPr>
                  <pic:blipFill>
                    <a:blip r:embed="rId67"/>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Flujo de trabajo crítico para el análisis de las fortalezas, debilidades, y otras consideraciones de gobierno SOA del FNA.</w:t>
      </w:r>
    </w:p>
    <w:p>
      <w:pPr>
        <w:pStyle w:val="Textoindependiente"/>
      </w:pPr>
      <w:r>
        <w:rPr>
          <w:iCs/>
          <w:i/>
        </w:rPr>
        <w:t xml:space="preserve">Fuente: elaboración propia.</w:t>
      </w:r>
    </w:p>
    <w:p>
      <w:pPr>
        <w:pStyle w:val="Textoindependiente"/>
      </w:pPr>
    </w:p>
    <w:p>
      <w:pPr>
        <w:pStyle w:val="Textoindependiente"/>
      </w:pPr>
      <w:r>
        <w:t xml:space="preserve">riesgos tecnicos</w:t>
      </w:r>
      <w:r>
        <w:t xml:space="preserve"> </w:t>
      </w:r>
      <w:r>
        <w:t xml:space="preserve">inversion de tecnologia</w:t>
      </w:r>
    </w:p>
    <w:p>
      <w:pPr>
        <w:pStyle w:val="Textoindependiente"/>
      </w:pPr>
      <w:r>
        <w:t xml:space="preserve">gobierno tiene desnttro de sus maximas fiscalizar la inversion d etecnologias</w:t>
      </w:r>
    </w:p>
    <w:p>
      <w:pPr>
        <w:pStyle w:val="Textoindependiente"/>
      </w:pPr>
      <w:r>
        <w:t xml:space="preserve">tenemos 2 parametros</w:t>
      </w:r>
    </w:p>
    <w:p>
      <w:pPr>
        <w:pStyle w:val="Textoindependiente"/>
      </w:pPr>
      <w:r>
        <w:t xml:space="preserve">1 efectividad de las inversiones de tecnologias</w:t>
      </w:r>
      <w:r>
        <w:t xml:space="preserve"> </w:t>
      </w:r>
      <w:r>
        <w:t xml:space="preserve">problemas de efectividad</w:t>
      </w:r>
      <w:r>
        <w:t xml:space="preserve"> </w:t>
      </w:r>
      <w:r>
        <w:t xml:space="preserve">cuales han sido efectivas en cuanto a inversion de tecnologia</w:t>
      </w:r>
      <w:r>
        <w:t xml:space="preserve"> </w:t>
      </w:r>
      <w:r>
        <w:t xml:space="preserve">inversion-costos (proveedores(cobis, estefanini)</w:t>
      </w:r>
      <w:r>
        <w:t xml:space="preserve"> </w:t>
      </w:r>
      <w:r>
        <w:t xml:space="preserve">centro de computo para cobis IBM</w:t>
      </w:r>
      <w:r>
        <w:t xml:space="preserve"> </w:t>
      </w:r>
      <w:r>
        <w:t xml:space="preserve">Rubros mas costosos</w:t>
      </w:r>
    </w:p>
    <w:p>
      <w:pPr>
        <w:pStyle w:val="Textoindependiente"/>
      </w:pPr>
      <w:r>
        <w:t xml:space="preserve">inversion de tecnologia que efectividad?</w:t>
      </w:r>
    </w:p>
    <w:p>
      <w:pPr>
        <w:pStyle w:val="Textoindependiente"/>
      </w:pPr>
      <w:r>
        <w:t xml:space="preserve">entender</w:t>
      </w:r>
      <w:r>
        <w:t xml:space="preserve"> </w:t>
      </w:r>
      <w:r>
        <w:t xml:space="preserve">como se realizan las gestion de la tecnologia en el fna</w:t>
      </w:r>
      <w:r>
        <w:t xml:space="preserve"> </w:t>
      </w:r>
      <w:r>
        <w:t xml:space="preserve">como se realiza el proceso paso a paso descrito hoy como se hace</w:t>
      </w:r>
    </w:p>
    <w:p>
      <w:pPr>
        <w:pStyle w:val="Textoindependiente"/>
      </w:pPr>
      <w:r>
        <w:t xml:space="preserve">PASOS</w:t>
      </w:r>
    </w:p>
    <w:p>
      <w:pPr>
        <w:pStyle w:val="Textoindependiente"/>
      </w:pPr>
      <w:r>
        <w:t xml:space="preserve">1 SE DILIGENCIA EL FORMATO DE LA NECESIDAD AL GRUPO DE CONTRATACION</w:t>
      </w:r>
      <w:r>
        <w:t xml:space="preserve"> </w:t>
      </w:r>
      <w:r>
        <w:t xml:space="preserve">2.CONTRATACION DA LA RESPUESTA SI ES POR CONTRATACION DIRECTA O SE DEBE HACER ESTUDIO DE MERCADO</w:t>
      </w:r>
      <w:r>
        <w:t xml:space="preserve"> </w:t>
      </w:r>
      <w:r>
        <w:t xml:space="preserve">3 SI ES POR CONTRATACION DIRECTA ES POR QUE NO HAY OTRO OFERENTE EN EL MERCADO, O POR QUE EL MONTO NO SUPERA LOS 300 MILLONES</w:t>
      </w:r>
      <w:r>
        <w:t xml:space="preserve"> </w:t>
      </w:r>
      <w:r>
        <w:t xml:space="preserve">4 SI ES POR ESTUDIO DE MERCADO, TOCA LLENAR LOS FORMATOS DE ESTUDIO DE LA NECESIDAD, ANEXO TECNICO Y FORMATO DE ANS</w:t>
      </w:r>
      <w:r>
        <w:t xml:space="preserve"> </w:t>
      </w:r>
      <w:r>
        <w:t xml:space="preserve">5 SE RADICA LA SOLICITUD A CONTRATACION</w:t>
      </w:r>
      <w:r>
        <w:t xml:space="preserve"> </w:t>
      </w:r>
      <w:r>
        <w:t xml:space="preserve">6. SE MONTA AL SECOP EL PROCESOS PUBLICO</w:t>
      </w:r>
      <w:r>
        <w:t xml:space="preserve"> </w:t>
      </w:r>
      <w:r>
        <w:t xml:space="preserve">7 SE SOLICITA COTIZACION A LOS PROVEEDORES</w:t>
      </w:r>
      <w:r>
        <w:t xml:space="preserve"> </w:t>
      </w:r>
      <w:r>
        <w:t xml:space="preserve">8 LOS PROVEEDORES ENTREGAN COTIZACION</w:t>
      </w:r>
      <w:r>
        <w:t xml:space="preserve"> </w:t>
      </w:r>
      <w:r>
        <w:t xml:space="preserve">9 SE RESPONDEN PREGUNTAS DE LOS PROVEEDORES EN EL PROCESO</w:t>
      </w:r>
      <w:r>
        <w:t xml:space="preserve"> </w:t>
      </w:r>
      <w:r>
        <w:t xml:space="preserve">10 LOS PROVEEDORES ENTREGAN LAS COTIZACIONES</w:t>
      </w:r>
      <w:r>
        <w:t xml:space="preserve"> </w:t>
      </w:r>
      <w:r>
        <w:t xml:space="preserve">11 CONTRATACION ENTREGA RESULTADO DE ESTUDIO DE MERCADO</w:t>
      </w:r>
      <w:r>
        <w:t xml:space="preserve"> </w:t>
      </w:r>
      <w:r>
        <w:t xml:space="preserve">12 LA VICEPRESIDENCIA DE TECNOLOGIA CON EL ESTUDIO ENTREGADO PREVIAMENTE POR CONTRATACION RADICA SOLICITUD A CONTRATACION</w:t>
      </w:r>
      <w:r>
        <w:t xml:space="preserve"> </w:t>
      </w:r>
      <w:r>
        <w:t xml:space="preserve">13 CONTRATACION PUBLICA PROCESO EN SECOP</w:t>
      </w:r>
      <w:r>
        <w:t xml:space="preserve"> </w:t>
      </w:r>
      <w:r>
        <w:t xml:space="preserve">14 SE RESUELVEN PREGUNTAS TECNICAS DEL PROCESO A LOS PROVEEDORES</w:t>
      </w:r>
      <w:r>
        <w:t xml:space="preserve"> </w:t>
      </w:r>
      <w:r>
        <w:t xml:space="preserve">15 SE RECIBEN COTIZACIONES DE LOS PROVEEDORES</w:t>
      </w:r>
      <w:r>
        <w:t xml:space="preserve"> </w:t>
      </w:r>
      <w:r>
        <w:t xml:space="preserve">16 DE ACUERDO A LAS REGLAS DE PARTICIPACION CONTRATACION HABILITA A LOS OFERENTES OPCIONADOS</w:t>
      </w:r>
      <w:r>
        <w:t xml:space="preserve"> </w:t>
      </w:r>
      <w:r>
        <w:t xml:space="preserve">17 DE ACUERDO A LOS PIEGLOS DE ESTABLECE EL MECANISMO DE ASIGNACION DEL CONTRATO DE TI</w:t>
      </w:r>
      <w:r>
        <w:t xml:space="preserve"> </w:t>
      </w:r>
      <w:r>
        <w:t xml:space="preserve">18 EN ALGUNAS OCASIONES APLICA SUBASTA EN OTRAS SE ASIGNA DE ACUERDO A MEJOR PUNTAJE DEPENDIENDO DE LOS PLIEGOS</w:t>
      </w:r>
      <w:r>
        <w:t xml:space="preserve"> </w:t>
      </w:r>
      <w:r>
        <w:t xml:space="preserve">19 SE ASIGNA EL CONTRATO AL PROVEEDOR GANADOR</w:t>
      </w:r>
      <w:r>
        <w:t xml:space="preserve"> </w:t>
      </w:r>
      <w:r>
        <w:t xml:space="preserve">20 SE CREA LA MINUTA DEL CONTRATO</w:t>
      </w:r>
      <w:r>
        <w:t xml:space="preserve"> </w:t>
      </w:r>
      <w:r>
        <w:t xml:space="preserve">21 SE FIRMA LA MINUTA</w:t>
      </w:r>
      <w:r>
        <w:t xml:space="preserve"> </w:t>
      </w:r>
      <w:r>
        <w:t xml:space="preserve">22 SE ASIGNA EL CONTRATO A UN APOYO A LA SUPERVISION DE ti</w:t>
      </w:r>
      <w:r>
        <w:t xml:space="preserve"> </w:t>
      </w:r>
      <w:r>
        <w:t xml:space="preserve">23 DE ESTABLECEN PLANES DE TRABAJO PARA LA IMPLEMENTACION O INTEGRACION DE LAS SOLUCIONES CONTRATADAS</w:t>
      </w:r>
      <w:r>
        <w:t xml:space="preserve"> </w:t>
      </w:r>
      <w:r>
        <w:t xml:space="preserve">24 SE IMPLEMENTA LA SOLUCION EN PRODUCCION</w:t>
      </w:r>
      <w:r>
        <w:t xml:space="preserve"> </w:t>
      </w:r>
      <w:r>
        <w:t xml:space="preserve">25 SE ENTREGA LA OPERACION AL GRUPO DE SOPORTE PARA GESTION DEL DIA A DIA</w:t>
      </w:r>
    </w:p>
    <w:p>
      <w:pPr>
        <w:pStyle w:val="Textoindependiente"/>
      </w:pPr>
      <w:r>
        <w:t xml:space="preserve">CADA FABRICA TIENE UN GRUPO DE SOPORTE Y MANTENIMIENTO PARA SOPORTES E INCIDENCIAS Y OTRO PARA DESAROLLO Y NUEVAS FUNCIONALIDADES</w:t>
      </w:r>
    </w:p>
    <w:p>
      <w:r>
        <w:pict>
          <v:rect style="width:0;height:1.5pt" o:hralign="center" o:hrstd="t" o:hr="t"/>
        </w:pict>
      </w:r>
    </w:p>
    <w:bookmarkEnd w:id="70"/>
    <w:bookmarkEnd w:id="71"/>
    <w:bookmarkEnd w:id="72"/>
    <w:bookmarkStart w:id="78" w:name="anexos-del-producto-1-pr01"/>
    <w:p>
      <w:pPr>
        <w:pStyle w:val="Ttulo1"/>
      </w:pPr>
      <w:r>
        <w:t xml:space="preserve">Anexos del Producto 1 (PR01)</w:t>
      </w:r>
    </w:p>
    <w:bookmarkStart w:id="75" w:name="vista-de-segmento-del-proyecto"/>
    <w:p>
      <w:pPr>
        <w:pStyle w:val="Ttulo2"/>
      </w:pPr>
      <w:r>
        <w:t xml:space="preserve">1. Vista de Segmento del Proyecto</w:t>
      </w:r>
    </w:p>
    <w:p>
      <w:pPr>
        <w:pStyle w:val="Figure"/>
      </w:pPr>
      <w:r>
        <w:drawing>
          <wp:inline>
            <wp:extent cx="5600700" cy="6506407"/>
            <wp:effectExtent b="0" l="0" r="0" t="0"/>
            <wp:docPr descr="" title="" id="73" name="Picture"/>
            <a:graphic>
              <a:graphicData uri="http://schemas.openxmlformats.org/drawingml/2006/picture">
                <pic:pic>
                  <pic:nvPicPr>
                    <pic:cNvPr descr="images/segmentoFNAfaseII.jpg" id="74"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75"/>
    <w:bookmarkStart w:id="76"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76"/>
    <w:bookmarkStart w:id="77"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1.9d1f996</w:t>
      </w:r>
    </w:p>
    <w:p>
      <w:pPr>
        <w:pStyle w:val="FirstParagraph"/>
      </w:pPr>
    </w:p>
    <w:bookmarkEnd w:id="77"/>
    <w:bookmarkEnd w:id="78"/>
    <w:bookmarkStart w:id="82"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79"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79"/>
    <w:bookmarkStart w:id="80" w:name="contenidos-1"/>
    <w:p>
      <w:pPr>
        <w:pStyle w:val="Ttulo2"/>
      </w:pPr>
      <w:r>
        <w:t xml:space="preserve">Contenidos</w:t>
      </w:r>
    </w:p>
    <w:p>
      <w:pPr>
        <w:numPr>
          <w:ilvl w:val="0"/>
          <w:numId w:val="1010"/>
        </w:numPr>
        <w:pStyle w:val="Compact"/>
      </w:pPr>
      <w:r>
        <w:t xml:space="preserve">Modelo de gobierno SOA del FNA: actores, información y procedimientos</w:t>
      </w:r>
    </w:p>
    <w:p>
      <w:pPr>
        <w:numPr>
          <w:ilvl w:val="0"/>
          <w:numId w:val="1010"/>
        </w:numPr>
        <w:pStyle w:val="Compact"/>
      </w:pPr>
      <w:r>
        <w:t xml:space="preserve">Flujo de trabajo de oficina de arquitectura del FNA</w:t>
      </w:r>
    </w:p>
    <w:p>
      <w:pPr>
        <w:numPr>
          <w:ilvl w:val="0"/>
          <w:numId w:val="1010"/>
        </w:numPr>
        <w:pStyle w:val="Compact"/>
      </w:pPr>
      <w:r>
        <w:t xml:space="preserve">Matriz de responsabilidades oficina de arquitectura</w:t>
      </w:r>
    </w:p>
    <w:p>
      <w:pPr>
        <w:numPr>
          <w:ilvl w:val="0"/>
          <w:numId w:val="1010"/>
        </w:numPr>
        <w:pStyle w:val="Compact"/>
      </w:pPr>
      <w:r>
        <w:t xml:space="preserve">Procedimientos base del modelo de gobierno / oficina de arquitectura</w:t>
      </w:r>
    </w:p>
    <w:p>
      <w:pPr>
        <w:numPr>
          <w:ilvl w:val="0"/>
          <w:numId w:val="1010"/>
        </w:numPr>
        <w:pStyle w:val="Compact"/>
      </w:pPr>
      <w:r>
        <w:t xml:space="preserve">Anexos. Referencia documental del Gobierno SOA del FNA</w:t>
      </w:r>
    </w:p>
    <w:p>
      <w:pPr>
        <w:pStyle w:val="FirstParagraph"/>
      </w:pPr>
    </w:p>
    <w:bookmarkEnd w:id="80"/>
    <w:bookmarkStart w:id="81" w:name="criterios-de-aceptación-1"/>
    <w:p>
      <w:pPr>
        <w:pStyle w:val="Ttulo2"/>
      </w:pPr>
      <w:r>
        <w:t xml:space="preserve">Criterios de Aceptación</w:t>
      </w:r>
    </w:p>
    <w:p>
      <w:pPr>
        <w:numPr>
          <w:ilvl w:val="0"/>
          <w:numId w:val="1011"/>
        </w:numPr>
        <w:pStyle w:val="Compact"/>
      </w:pPr>
      <w:r>
        <w:t xml:space="preserve">Entendimiento funcional y operativa de la oficina de arquitectura FNA</w:t>
      </w:r>
    </w:p>
    <w:p>
      <w:pPr>
        <w:numPr>
          <w:ilvl w:val="0"/>
          <w:numId w:val="1011"/>
        </w:numPr>
        <w:pStyle w:val="Compact"/>
      </w:pPr>
      <w:r>
        <w:t xml:space="preserve">Matriz de roles y procedimientos de la oficina de arquitetura FNA</w:t>
      </w:r>
    </w:p>
    <w:p>
      <w:pPr>
        <w:pStyle w:val="FirstParagraph"/>
      </w:pPr>
    </w:p>
    <w:p>
      <w:r>
        <w:pict>
          <v:rect style="width:0;height:1.5pt" o:hralign="center" o:hrstd="t" o:hr="t"/>
        </w:pict>
      </w:r>
    </w:p>
    <w:bookmarkEnd w:id="81"/>
    <w:bookmarkEnd w:id="82"/>
    <w:bookmarkStart w:id="105"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83"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83"/>
    <w:bookmarkStart w:id="87"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84" w:name="flujos-críticos-de-trabajo"/>
    <w:p>
      <w:pPr>
        <w:pStyle w:val="Ttulo3"/>
      </w:pPr>
      <w:r>
        <w:t xml:space="preserve">Flujos Críticos de Trabajo</w:t>
      </w:r>
    </w:p>
    <w:bookmarkEnd w:id="84"/>
    <w:bookmarkStart w:id="85" w:name="gestión-del-riesgo-técnico"/>
    <w:p>
      <w:pPr>
        <w:pStyle w:val="Ttulo3"/>
      </w:pPr>
      <w:r>
        <w:t xml:space="preserve">Gestión del Riesgo Técnico</w:t>
      </w:r>
    </w:p>
    <w:bookmarkEnd w:id="85"/>
    <w:bookmarkStart w:id="86"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86"/>
    <w:bookmarkEnd w:id="87"/>
    <w:bookmarkStart w:id="95" w:name="ccf-1"/>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88" w:name="atención-1"/>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88"/>
    <w:bookmarkStart w:id="89"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89"/>
    <w:bookmarkStart w:id="90" w:name="arquitectura-1"/>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90"/>
    <w:bookmarkStart w:id="91" w:name="valor-1"/>
    <w:p>
      <w:pPr>
        <w:pStyle w:val="Ttulo3"/>
      </w:pPr>
      <w:r>
        <w:t xml:space="preserve">Valor</w:t>
      </w:r>
    </w:p>
    <w:p>
      <w:pPr>
        <w:pStyle w:val="FirstParagraph"/>
      </w:pPr>
      <w:r>
        <w:rPr>
          <w:iCs/>
          <w:i/>
        </w:rPr>
        <w:t xml:space="preserve">Guía: cuál es el valor que este flujo genera para el FNA.</w:t>
      </w:r>
    </w:p>
    <w:bookmarkEnd w:id="91"/>
    <w:bookmarkStart w:id="92" w:name="seguimiento-1"/>
    <w:p>
      <w:pPr>
        <w:pStyle w:val="Ttulo3"/>
      </w:pPr>
      <w:r>
        <w:t xml:space="preserve">Seguimiento</w:t>
      </w:r>
    </w:p>
    <w:p>
      <w:pPr>
        <w:pStyle w:val="FirstParagraph"/>
      </w:pPr>
      <w:r>
        <w:rPr>
          <w:iCs/>
          <w:i/>
        </w:rPr>
        <w:t xml:space="preserve">Guía: cómo se valida que la ejecución o valor gnerado se haya llevado a cabo en dichos términos.</w:t>
      </w:r>
    </w:p>
    <w:bookmarkEnd w:id="92"/>
    <w:bookmarkStart w:id="93" w:name="entrega-1"/>
    <w:p>
      <w:pPr>
        <w:pStyle w:val="Ttulo3"/>
      </w:pPr>
      <w:r>
        <w:t xml:space="preserve">Entrega</w:t>
      </w:r>
    </w:p>
    <w:p>
      <w:pPr>
        <w:pStyle w:val="FirstParagraph"/>
      </w:pPr>
      <w:r>
        <w:rPr>
          <w:iCs/>
          <w:i/>
        </w:rPr>
        <w:t xml:space="preserve">Guía: cómo se da por entregado el resultado del trabajo al cliente objetivo que inició el flujo.</w:t>
      </w:r>
    </w:p>
    <w:bookmarkEnd w:id="93"/>
    <w:bookmarkStart w:id="94" w:name="repetición-1"/>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94"/>
    <w:bookmarkEnd w:id="95"/>
    <w:bookmarkStart w:id="102" w:name="ccf-2"/>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96" w:name="atención-2"/>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96"/>
    <w:bookmarkStart w:id="97" w:name="arquitectura-2"/>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97"/>
    <w:bookmarkStart w:id="98" w:name="valor-2"/>
    <w:p>
      <w:pPr>
        <w:pStyle w:val="Ttulo3"/>
      </w:pPr>
      <w:r>
        <w:t xml:space="preserve">Valor</w:t>
      </w:r>
    </w:p>
    <w:p>
      <w:pPr>
        <w:pStyle w:val="FirstParagraph"/>
      </w:pPr>
      <w:r>
        <w:t xml:space="preserve">El valor es alto, debido a que afecta al Consumidor financiero en el retiro de las cesantias</w:t>
      </w:r>
    </w:p>
    <w:bookmarkEnd w:id="98"/>
    <w:bookmarkStart w:id="99" w:name="seguimiento-2"/>
    <w:p>
      <w:pPr>
        <w:pStyle w:val="Ttulo3"/>
      </w:pPr>
      <w:r>
        <w:t xml:space="preserve">Seguimiento</w:t>
      </w:r>
    </w:p>
    <w:p>
      <w:pPr>
        <w:pStyle w:val="FirstParagraph"/>
      </w:pPr>
      <w:r>
        <w:t xml:space="preserve">El seguimiento se realiza diariamente con la conciliacion aplicada por el area usuaria</w:t>
      </w:r>
    </w:p>
    <w:bookmarkEnd w:id="99"/>
    <w:bookmarkStart w:id="100" w:name="entrega-2"/>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0"/>
    <w:bookmarkStart w:id="101" w:name="repetición-2"/>
    <w:p>
      <w:pPr>
        <w:pStyle w:val="Ttulo3"/>
      </w:pPr>
      <w:r>
        <w:t xml:space="preserve">Repetición</w:t>
      </w:r>
    </w:p>
    <w:p>
      <w:pPr>
        <w:pStyle w:val="FirstParagraph"/>
      </w:pPr>
      <w:r>
        <w:t xml:space="preserve">_Guía: Implementar un buen diseño en la aplicacion y malla de calidad en la pruebas</w:t>
      </w:r>
    </w:p>
    <w:bookmarkEnd w:id="101"/>
    <w:bookmarkEnd w:id="102"/>
    <w:bookmarkStart w:id="104" w:name="referencias"/>
    <w:p>
      <w:pPr>
        <w:pStyle w:val="Ttulo2"/>
      </w:pPr>
      <w:r>
        <w:t xml:space="preserve">Referencias</w:t>
      </w:r>
    </w:p>
    <w:bookmarkStart w:id="103" w:name="refs"/>
    <w:bookmarkEnd w:id="103"/>
    <w:bookmarkEnd w:id="104"/>
    <w:bookmarkEnd w:id="10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9d1f996f7e755a2dc26d12d0476fb8313d773107"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d1f996f7e755a2dc26d12d0476fb8313d773107/"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9d1f996f7e755a2dc26d12d0476fb8313d773107"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d1f996f7e755a2dc26d12d0476fb8313d773107/"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2023-06-04T21:03:41Z</dcterms:created>
  <dcterms:modified xsi:type="dcterms:W3CDTF">2023-06-04T21:03:41Z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