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0.jpg" ContentType="image/jpeg"/>
  <Override PartName="/word/media/rId49.png" ContentType="image/png"/>
  <Override PartName="/word/media/rId52.png" ContentType="image/png"/>
  <Override PartName="/word/media/rId37.jpg" ContentType="image/jpeg"/>
  <Override PartName="/word/media/rId56.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Vista</w:t>
      </w:r>
      <w:r>
        <w:t xml:space="preserve"> </w:t>
      </w:r>
      <w:r>
        <w:t xml:space="preserve">de</w:t>
      </w:r>
      <w:r>
        <w:t xml:space="preserve"> </w:t>
      </w:r>
      <w:r>
        <w:t xml:space="preserve">Contexto</w:t>
      </w:r>
    </w:p>
    <w:p>
      <w:pPr>
        <w:pStyle w:val="FirstParagraph"/>
      </w:pPr>
      <w:r>
        <w:t xml:space="preserve">Este producto PR01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STEF@bf71463</w:t>
        </w:r>
      </w:hyperlink>
      <w:r>
        <w:t xml:space="preserve"> </w:t>
      </w:r>
      <w:r>
        <w:t xml:space="preserve">del June 5, 2023.</w:t>
      </w:r>
      <w:r>
        <w:t xml:space="preserve"> </w:t>
      </w:r>
    </w:p>
    <w:p>
      <w:pPr>
        <w:pStyle w:val="Textoindependiente"/>
      </w:pPr>
      <w:r>
        <w:t xml:space="preserve">   </w:t>
      </w:r>
      <w:r>
        <w:rPr>
          <w:bCs/>
          <w:b/>
        </w:rPr>
        <w:t xml:space="preserve">Versión</w:t>
      </w:r>
      <w:r>
        <w:t xml:space="preserve"> </w:t>
      </w:r>
      <w:r>
        <w:t xml:space="preserve">del producto 1.bf71463 del 05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1 (PR01) del proyecto Gobierno SOA: Lista de las partes de la arquitectura actual del FNA relacionados con el Gobierno SOA, objeto del proyecto.</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1.bf71463 del 05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05 Jun 2023</w:t>
      </w:r>
    </w:p>
    <w:p>
      <w:pPr>
        <w:pStyle w:val="Textodebloque"/>
      </w:pPr>
      <w:r>
        <w:rPr>
          <w:bCs/>
          <w:b/>
        </w:rPr>
        <w:t xml:space="preserve">Versión</w:t>
      </w:r>
      <w:r>
        <w:t xml:space="preserve"> </w:t>
      </w:r>
      <w:r>
        <w:t xml:space="preserve">1.bf71463</w:t>
      </w:r>
    </w:p>
    <w:p>
      <w:pPr>
        <w:pStyle w:val="FirstParagraph"/>
      </w:pPr>
    </w:p>
    <w:bookmarkEnd w:id="30"/>
    <w:bookmarkStart w:id="36" w:name="X3a1264f05dd3cc9ee2158cf93d82fdfd57259e5"/>
    <w:p>
      <w:pPr>
        <w:pStyle w:val="Ttulo1"/>
      </w:pPr>
      <w:r>
        <w:t xml:space="preserve">Producto 1: PR01. Detalle de los ítems de arquitectura impactados por el proyecto</w:t>
      </w:r>
    </w:p>
    <w:p>
      <w:pPr>
        <w:pStyle w:val="FirstParagraph"/>
      </w:pPr>
      <w:r>
        <w:t xml:space="preserve">Lista de las partes de la arquitectura actual del FNA relacionados con el Gobierno SOA, objeto del proyecto.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Facilitar la aprobación de los contenidos de los entregables del proyecto PRY01, Gobierno SOA, en su Etapa 0, tal que garantice la continuidad y ejecución de la etapa</w:t>
      </w:r>
    </w:p>
    <w:bookmarkEnd w:id="31"/>
    <w:bookmarkStart w:id="32" w:name="contenidos"/>
    <w:p>
      <w:pPr>
        <w:pStyle w:val="Ttulo2"/>
      </w:pPr>
      <w:r>
        <w:t xml:space="preserve">Contenidos</w:t>
      </w:r>
    </w:p>
    <w:p>
      <w:pPr>
        <w:numPr>
          <w:ilvl w:val="0"/>
          <w:numId w:val="1002"/>
        </w:numPr>
        <w:pStyle w:val="Compact"/>
      </w:pPr>
      <w:r>
        <w:t xml:space="preserve">Vista de segmento de la empresa, campo de acción del proyecto</w:t>
      </w:r>
    </w:p>
    <w:p>
      <w:pPr>
        <w:numPr>
          <w:ilvl w:val="0"/>
          <w:numId w:val="1002"/>
        </w:numPr>
        <w:pStyle w:val="Compact"/>
      </w:pPr>
      <w:r>
        <w:t xml:space="preserve">Justificación del segmento de la empresa susceptibles de gobierno</w:t>
      </w:r>
    </w:p>
    <w:p>
      <w:pPr>
        <w:numPr>
          <w:ilvl w:val="0"/>
          <w:numId w:val="1002"/>
        </w:numPr>
        <w:pStyle w:val="Compact"/>
      </w:pPr>
      <w:r>
        <w:t xml:space="preserve">Flujos críticos de trabajo sensibles al gobierno (relación con E-Service, Fase I)</w:t>
      </w:r>
    </w:p>
    <w:p>
      <w:pPr>
        <w:pStyle w:val="FirstParagraph"/>
      </w:pPr>
    </w:p>
    <w:bookmarkEnd w:id="32"/>
    <w:bookmarkStart w:id="35" w:name="criterios-de-aceptación"/>
    <w:p>
      <w:pPr>
        <w:pStyle w:val="Ttulo2"/>
      </w:pPr>
      <w:r>
        <w:t xml:space="preserve">Criterios de Aceptación</w:t>
      </w:r>
    </w:p>
    <w:p>
      <w:pPr>
        <w:numPr>
          <w:ilvl w:val="0"/>
          <w:numId w:val="1003"/>
        </w:numPr>
        <w:pStyle w:val="Compact"/>
      </w:pPr>
      <w:r>
        <w:t xml:space="preserve">Lista de los ítems de arquitectura y flujos críticos de trabajo sujetos al gobierno SOA</w:t>
      </w:r>
    </w:p>
    <w:p>
      <w:pPr>
        <w:numPr>
          <w:ilvl w:val="0"/>
          <w:numId w:val="1003"/>
        </w:numPr>
        <w:pStyle w:val="Compact"/>
      </w:pPr>
      <w:r>
        <w:t xml:space="preserve">Descripción de los ítems del segmento de la empresa del proyecto 1 (PRY01), gobierno SOA FNA</w:t>
      </w:r>
    </w:p>
    <w:p>
      <w:pPr>
        <w:pStyle w:val="FirstParagraph"/>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1.bf71463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r>
              <w:t xml:space="preserve">;</w:t>
            </w:r>
          </w:p>
        </w:tc>
      </w:tr>
      <w:tr>
        <w:tc>
          <w:tcPr/>
          <w:p>
            <w:pPr>
              <w:pStyle w:val="Compact"/>
              <w:jc w:val="left"/>
            </w:pPr>
            <w:hyperlink r:id="rId34">
              <w:r>
                <w:rPr>
                  <w:rStyle w:val="Hipervnculo"/>
                </w:rPr>
                <w:t xml:space="preserve">N003a. Procesos de Negocio FNA</w:t>
              </w:r>
            </w:hyperlink>
          </w:p>
        </w:tc>
        <w:tc>
          <w:tcPr/>
          <w:p>
            <w:pPr>
              <w:pStyle w:val="Compact"/>
            </w:pPr>
          </w:p>
        </w:tc>
      </w:tr>
    </w:tbl>
    <w:p>
      <w:pPr>
        <w:pStyle w:val="Textoindependiente"/>
      </w:pPr>
    </w:p>
    <w:bookmarkEnd w:id="35"/>
    <w:bookmarkEnd w:id="36"/>
    <w:bookmarkStart w:id="61" w:name="Xfec879a391e4be25250b3f76a221c11ca8d002a"/>
    <w:p>
      <w:pPr>
        <w:pStyle w:val="Ttulo1"/>
      </w:pPr>
      <w:r>
        <w:t xml:space="preserve">Vista de Contexto Fase II, E-Service, 2023 (181-2020)</w:t>
      </w:r>
    </w:p>
    <w:bookmarkStart w:id="42" w:name="Xa7bf09accd813b07c97e8a351408ece794b8f54"/>
    <w:p>
      <w:pPr>
        <w:pStyle w:val="Ttulo2"/>
      </w:pPr>
      <w:r>
        <w:t xml:space="preserve">Elementos de la Arquitectura Impactados por el Proyecto</w:t>
      </w:r>
    </w:p>
    <w:p>
      <w:pPr>
        <w:pStyle w:val="FirstParagraph"/>
      </w:pPr>
      <w:r>
        <w:t xml:space="preserve">La vista de contexto o del segmento de empresa presenta un corte de la arquitectura del Fondo Nacional del Ahorro (FNA, en adelante) que será abordada por este proyecto. Por tanto, esta vista es una porción de la empresa FNA (segmento de empresa) acotada a las partes que son sujeto del trabajo del proyecto PRY01, Gobierno SOA, Fase II, E-Service (contrato 181-2020). Si bien, la vista contiene aquellas partes directamente relacionadas con el proyecto, también presenta en relación indirecta a otros ítems de la arquitectura del FNA.</w:t>
      </w:r>
    </w:p>
    <w:p>
      <w:pPr>
        <w:pStyle w:val="Textoindependiente"/>
      </w:pPr>
      <w:r>
        <w:t xml:space="preserve">La vista de segmento a continuación escoge las partes de la arquitectura del FNA que son sujeto del alcance del PRY01, Gobierno SOA del FNA.</w:t>
      </w:r>
    </w:p>
    <w:bookmarkStart w:id="0" w:name="fig:1"/>
    <w:p>
      <w:pPr>
        <w:pStyle w:val="CaptionedFigure"/>
      </w:pPr>
      <w:bookmarkStart w:id="40" w:name="fig:1"/>
      <w:r>
        <w:drawing>
          <wp:inline>
            <wp:extent cx="5600700" cy="6506407"/>
            <wp:effectExtent b="0" l="0" r="0" t="0"/>
            <wp:docPr descr="Imagen 1: Elementos de la arquitectura del FNA, la empresa, involucrados e impactados por el proyecto actual. Muestra además la relación indirecta con otras partes de la empresa, externas a la vista de contexto." title="" id="38" name="Picture"/>
            <a:graphic>
              <a:graphicData uri="http://schemas.openxmlformats.org/drawingml/2006/picture">
                <pic:pic>
                  <pic:nvPicPr>
                    <pic:cNvPr descr="images/segmentoFNAfaseII.jpg" id="39"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bookmarkEnd w:id="40"/>
    </w:p>
    <w:p>
      <w:pPr>
        <w:pStyle w:val="ImageCaption"/>
      </w:pPr>
      <w:r>
        <w:t xml:space="preserve">Imagen 1: Elementos de la arquitectura del FNA, la empresa, involucrados e impactados por el proyecto actual. Muestra además la relación indirecta con otras partes de la empresa, externas a la vista de contexto.</w:t>
      </w:r>
    </w:p>
    <w:bookmarkEnd w:id="0"/>
    <w:p>
      <w:pPr>
        <w:pStyle w:val="Textoindependiente"/>
      </w:pPr>
      <w:r>
        <w:rPr>
          <w:iCs/>
          <w:i/>
        </w:rPr>
        <w:t xml:space="preserve">Fuente: Elaboración propia.</w:t>
      </w:r>
    </w:p>
    <w:p>
      <w:pPr>
        <w:pStyle w:val="Textoindependiente"/>
      </w:pPr>
    </w:p>
    <w:p>
      <w:pPr>
        <w:pStyle w:val="Textoindependiente"/>
      </w:pPr>
      <w:r>
        <w:t xml:space="preserve">Esta vista le informa al FNA tres objetivos importates. Primero, que el ejercicio actual, de gobierno SOA, aunque sea de caracter empresarial está condicionada por las restricciones del proyecto presente, y no debe por esto mismo abarcar la completitud de la empresa FNA, si no, únicamente las partes seleccionados como relevantes (ver</w:t>
      </w:r>
      <w:r>
        <w:t xml:space="preserve"> </w:t>
      </w:r>
      <w:hyperlink r:id="rId41">
        <w:r>
          <w:rPr>
            <w:rStyle w:val="Hipervnculo"/>
          </w:rPr>
          <w:t xml:space="preserve">Justificación Segmento Empresa FNA</w:t>
        </w:r>
      </w:hyperlink>
      <w:r>
        <w:t xml:space="preserve">, más adelante). Por esta razón, el segmento presentado en la imagen arriba hace foco en las dichas capacidades del FNA, en esos procesos, y en tales servicios que son relevantes según las restricciones de ejecución y resultados esperados de este proyecto.</w:t>
      </w:r>
    </w:p>
    <w:p>
      <w:pPr>
        <w:pStyle w:val="Textoindependiente"/>
      </w:pPr>
      <w:r>
        <w:t xml:space="preserve">Segundo, la vista de contexto comunica las problemáticas y operaciones a realizar a aquellas partes de la empresa FNA (aparecen en forma de trabajo, al final de la vista). Estas operaciones, en forma de diagnósticos, por ej., se deberán realizar para producir una solución dentro de los términos del proyecto, que en esta caso, es el de Gobierno SOA.</w:t>
      </w:r>
    </w:p>
    <w:p>
      <w:pPr>
        <w:pStyle w:val="Textoindependiente"/>
      </w:pPr>
      <w:r>
        <w:t xml:space="preserve">Tercero y último, la vista de segmento FNA del proyecto facilita la justificación y los criterios con los que se realizó la inclusión estos, y nuevos ítems que esta incluya.</w:t>
      </w:r>
    </w:p>
    <w:p>
      <w:pPr>
        <w:pStyle w:val="Textoindependiente"/>
      </w:pPr>
    </w:p>
    <w:bookmarkEnd w:id="42"/>
    <w:bookmarkStart w:id="47"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4"/>
        </w:numPr>
        <w:pStyle w:val="Compact"/>
      </w:pPr>
      <w:r>
        <w:t xml:space="preserve">Los procesos de _Diseño de Servicios y Soluciones FNA** y **Verificación y Calidad de Implementación_</w:t>
      </w:r>
    </w:p>
    <w:p>
      <w:pPr>
        <w:numPr>
          <w:ilvl w:val="0"/>
          <w:numId w:val="1004"/>
        </w:numPr>
        <w:pStyle w:val="Compact"/>
      </w:pPr>
      <w:r>
        <w:t xml:space="preserve">Los objetivos representados en el gobierno y adopción de la arquitectura</w:t>
      </w:r>
    </w:p>
    <w:p>
      <w:pPr>
        <w:numPr>
          <w:ilvl w:val="0"/>
          <w:numId w:val="1004"/>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4"/>
        </w:numPr>
        <w:pStyle w:val="Compact"/>
      </w:pPr>
      <w:r>
        <w:t xml:space="preserve">La infraestructura tecnológica que soporta los servicios</w:t>
      </w:r>
    </w:p>
    <w:p>
      <w:pPr>
        <w:pStyle w:val="FirstParagraph"/>
      </w:pPr>
    </w:p>
    <w:bookmarkStart w:id="43" w:name="Xf6ebfbc211201eabebd339c9d25c0c8e4f482cb"/>
    <w:p>
      <w:pPr>
        <w:pStyle w:val="Ttulo3"/>
      </w:pPr>
      <w:r>
        <w:t xml:space="preserve">PROC4. 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5"/>
        </w:numPr>
        <w:pStyle w:val="Compact"/>
      </w:pPr>
      <w:r>
        <w:t xml:space="preserve">Gestión de la configuración</w:t>
      </w:r>
    </w:p>
    <w:p>
      <w:pPr>
        <w:numPr>
          <w:ilvl w:val="0"/>
          <w:numId w:val="1005"/>
        </w:numPr>
        <w:pStyle w:val="Compact"/>
      </w:pPr>
      <w:r>
        <w:t xml:space="preserve">Preparación y ejecución de pruebas</w:t>
      </w:r>
    </w:p>
    <w:p>
      <w:pPr>
        <w:numPr>
          <w:ilvl w:val="0"/>
          <w:numId w:val="1005"/>
        </w:numPr>
        <w:pStyle w:val="Compact"/>
      </w:pPr>
      <w:r>
        <w:t xml:space="preserve">Gestión de Requisitos y Mantenimiento</w:t>
      </w:r>
    </w:p>
    <w:p>
      <w:pPr>
        <w:numPr>
          <w:ilvl w:val="0"/>
          <w:numId w:val="1005"/>
        </w:numPr>
        <w:pStyle w:val="Compact"/>
      </w:pPr>
      <w:r>
        <w:t xml:space="preserve">Atención de problemas</w:t>
      </w:r>
    </w:p>
    <w:p>
      <w:pPr>
        <w:numPr>
          <w:ilvl w:val="0"/>
          <w:numId w:val="1005"/>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 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 y sistemas de gestión empresarial, entre otros.</w:t>
      </w:r>
    </w:p>
    <w:p>
      <w:pPr>
        <w:pStyle w:val="Textoindependiente"/>
      </w:pPr>
      <w:r>
        <w:t xml:space="preserve">Por otra parte y en articulación al Marco para la Transformación Digital del Estado Colombiano, del MinTIC, el diseño de servicios y soluciones, integra habilidades del FNA, orientadas principalmente a lo siguiente.</w:t>
      </w:r>
    </w:p>
    <w:p>
      <w:pPr>
        <w:numPr>
          <w:ilvl w:val="0"/>
          <w:numId w:val="1006"/>
        </w:numPr>
        <w:pStyle w:val="Compact"/>
      </w:pPr>
      <w:r>
        <w:t xml:space="preserve">Diseño con enfoque centrado en los usuarios beneficiarios del FNA</w:t>
      </w:r>
    </w:p>
    <w:p>
      <w:pPr>
        <w:numPr>
          <w:ilvl w:val="0"/>
          <w:numId w:val="1006"/>
        </w:numPr>
        <w:pStyle w:val="Compact"/>
      </w:pPr>
      <w:r>
        <w:t xml:space="preserve">Solución de problemas complejos a través de la arquitectura</w:t>
      </w:r>
    </w:p>
    <w:p>
      <w:pPr>
        <w:numPr>
          <w:ilvl w:val="0"/>
          <w:numId w:val="1006"/>
        </w:numPr>
        <w:pStyle w:val="Compact"/>
      </w:pPr>
      <w:r>
        <w:t xml:space="preserve">Diseños ágil desde la perspectiva de salida a producción y con un adecuado uso de recursos</w:t>
      </w:r>
    </w:p>
    <w:p>
      <w:pPr>
        <w:pStyle w:val="FirstParagraph"/>
      </w:pPr>
      <w:r>
        <w:t xml:space="preserve">Estos elementos y características, corresponderán a los atributos del proceso Diseño de Servicios y Soluciones FNA, de la vista de segmento del FNA.</w:t>
      </w:r>
    </w:p>
    <w:bookmarkEnd w:id="43"/>
    <w:bookmarkStart w:id="44" w:name="X41dc0c16329a9b51dc0ab302bab3afc16810848"/>
    <w:p>
      <w:pPr>
        <w:pStyle w:val="Ttulo3"/>
      </w:pPr>
      <w:r>
        <w:t xml:space="preserve">PROC5. Verificación y Calidad de Implementación</w:t>
      </w:r>
    </w:p>
    <w:p>
      <w:pPr>
        <w:pStyle w:val="FirstParagraph"/>
      </w:pPr>
      <w:r>
        <w:t xml:space="preserve">Este componente dentro de la vista de arquitectura de segmento, define el éxito del diseño de servicios y soluciones, debido a la consideración de buenas prácticas, cumplimiento de normas y un adecuado gobierno en la etapa de diseño, hasta llegar a la implementación y puesta en funcionamiento.</w:t>
      </w:r>
    </w:p>
    <w:p>
      <w:pPr>
        <w:pStyle w:val="Textoindependiente"/>
      </w:pPr>
      <w:r>
        <w:t xml:space="preserve">La verificación y calidad de implementación dentro de la arquitectura de segmento, asegura que el diseño tuvo una planificación adecuada, un 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 uso y apropiación de la solución desplegada.</w:t>
      </w:r>
    </w:p>
    <w:p>
      <w:pPr>
        <w:pStyle w:val="Textoindependiente"/>
      </w:pPr>
      <w:r>
        <w:t xml:space="preserve">Dentro del alcance de esta fase del proyecto, se contempla el diseño del Gobierno SOA, compuesto por elementos con 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7"/>
        </w:numPr>
        <w:pStyle w:val="Compact"/>
      </w:pPr>
      <w:r>
        <w:t xml:space="preserve">Procesos</w:t>
      </w:r>
    </w:p>
    <w:p>
      <w:pPr>
        <w:numPr>
          <w:ilvl w:val="0"/>
          <w:numId w:val="1007"/>
        </w:numPr>
        <w:pStyle w:val="Compact"/>
      </w:pPr>
      <w:r>
        <w:t xml:space="preserve">Estructura</w:t>
      </w:r>
    </w:p>
    <w:p>
      <w:pPr>
        <w:numPr>
          <w:ilvl w:val="0"/>
          <w:numId w:val="1007"/>
        </w:numPr>
        <w:pStyle w:val="Compact"/>
      </w:pPr>
      <w:r>
        <w:t xml:space="preserve">Habilidades y Competencias</w:t>
      </w:r>
    </w:p>
    <w:p>
      <w:pPr>
        <w:numPr>
          <w:ilvl w:val="0"/>
          <w:numId w:val="1007"/>
        </w:numPr>
        <w:pStyle w:val="Compact"/>
      </w:pPr>
      <w:r>
        <w:t xml:space="preserve">Políticas</w:t>
      </w:r>
    </w:p>
    <w:p>
      <w:pPr>
        <w:numPr>
          <w:ilvl w:val="0"/>
          <w:numId w:val="1007"/>
        </w:numPr>
        <w:pStyle w:val="Compact"/>
      </w:pPr>
      <w:r>
        <w:t xml:space="preserve">Cultura y Ética</w:t>
      </w:r>
    </w:p>
    <w:p>
      <w:pPr>
        <w:numPr>
          <w:ilvl w:val="0"/>
          <w:numId w:val="1007"/>
        </w:numPr>
        <w:pStyle w:val="Compact"/>
      </w:pPr>
      <w:r>
        <w:t xml:space="preserve">Infraestructura</w:t>
      </w:r>
    </w:p>
    <w:p>
      <w:pPr>
        <w:numPr>
          <w:ilvl w:val="0"/>
          <w:numId w:val="1007"/>
        </w:numPr>
        <w:pStyle w:val="Compact"/>
      </w:pPr>
      <w:r>
        <w:t xml:space="preserve">Elementos de Información </w:t>
      </w:r>
    </w:p>
    <w:p>
      <w:pPr>
        <w:pStyle w:val="FirstParagraph"/>
      </w:pPr>
    </w:p>
    <w:bookmarkEnd w:id="44"/>
    <w:bookmarkStart w:id="45" w:name="obj10.-desarrollo-de-arquitecturas-fna"/>
    <w:p>
      <w:pPr>
        <w:pStyle w:val="Ttulo3"/>
      </w:pPr>
      <w:r>
        <w:t xml:space="preserve">OBJ10. Desarrollo de Arquitecturas FNA</w:t>
      </w:r>
    </w:p>
    <w:p>
      <w:pPr>
        <w:pStyle w:val="FirstParagraph"/>
      </w:pPr>
      <w:r>
        <w:t xml:space="preserve">Dentro del dominio motivacional; una de las metas claves de la vista de segmento corresponde al desarrollo de arquitecturas, como elementos rectores de gobierno de los procesos:</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r>
        <w:t xml:space="preserve">De acuerdo al Marco de Referencia de Arquitectura Empresarial (MRAE) 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45"/>
    <w:bookmarkStart w:id="46" w:name="obj11.-gestión-de-arquitectura-fna"/>
    <w:p>
      <w:pPr>
        <w:pStyle w:val="Ttulo3"/>
      </w:pPr>
      <w:r>
        <w:t xml:space="preserve">OBJ11. 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1.bf71463 del 05 Jun 2023</w:t>
            </w:r>
          </w:p>
        </w:tc>
      </w:tr>
      <w:tr>
        <w:tc>
          <w:tcPr/>
          <w:p>
            <w:pPr>
              <w:pStyle w:val="Compact"/>
              <w:jc w:val="left"/>
            </w:pPr>
            <w:r>
              <w:t xml:space="preserve">Vínculos</w:t>
            </w:r>
          </w:p>
        </w:tc>
        <w:tc>
          <w:tcPr/>
          <w:p>
            <w:pPr>
              <w:pStyle w:val="Compact"/>
              <w:jc w:val="left"/>
            </w:pPr>
            <w:hyperlink r:id="rId33">
              <w:r>
                <w:rPr>
                  <w:rStyle w:val="Hipervnculo"/>
                </w:rPr>
                <w:t xml:space="preserve">Ejecución Plan de Trabajo SOA</w:t>
              </w:r>
            </w:hyperlink>
            <w:r>
              <w:t xml:space="preserve">,</w:t>
            </w:r>
            <w:r>
              <w:t xml:space="preserve"> </w:t>
            </w:r>
            <w:hyperlink r:id="rId34">
              <w:r>
                <w:rPr>
                  <w:rStyle w:val="Hipervnculo"/>
                </w:rPr>
                <w:t xml:space="preserve">Resultados y métricas del diagnóstico de madurez SOA</w:t>
              </w:r>
            </w:hyperlink>
          </w:p>
        </w:tc>
      </w:tr>
    </w:tbl>
    <w:p>
      <w:pPr>
        <w:pStyle w:val="Textoindependiente"/>
      </w:pPr>
    </w:p>
    <w:bookmarkEnd w:id="46"/>
    <w:bookmarkEnd w:id="47"/>
    <w:bookmarkStart w:id="60"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48"/>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beneficiario del Fondo,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p>
      <w:pPr>
        <w:pStyle w:val="Figure"/>
      </w:pPr>
      <w:r>
        <w:drawing>
          <wp:inline>
            <wp:extent cx="5600700" cy="2403804"/>
            <wp:effectExtent b="0" l="0" r="0" t="0"/>
            <wp:docPr descr="" title="" id="50" name="Picture"/>
            <a:graphic>
              <a:graphicData uri="http://schemas.openxmlformats.org/drawingml/2006/picture">
                <pic:pic>
                  <pic:nvPicPr>
                    <pic:cNvPr descr="images/madurezInfo.png" id="51" name="Picture"/>
                    <pic:cNvPicPr>
                      <a:picLocks noChangeArrowheads="1" noChangeAspect="1"/>
                    </pic:cNvPicPr>
                  </pic:nvPicPr>
                  <pic:blipFill>
                    <a:blip r:embed="rId49"/>
                    <a:stretch>
                      <a:fillRect/>
                    </a:stretch>
                  </pic:blipFill>
                  <pic:spPr bwMode="auto">
                    <a:xfrm>
                      <a:off x="0" y="0"/>
                      <a:ext cx="5600700" cy="2403804"/>
                    </a:xfrm>
                    <a:prstGeom prst="rect">
                      <a:avLst/>
                    </a:prstGeom>
                    <a:noFill/>
                    <a:ln w="9525">
                      <a:noFill/>
                      <a:headEnd/>
                      <a:tailEnd/>
                    </a:ln>
                  </pic:spPr>
                </pic:pic>
              </a:graphicData>
            </a:graphic>
          </wp:inline>
        </w:drawing>
      </w:r>
    </w:p>
    <w:bookmarkStart w:id="0" w:name="fig:a044f174-4d69-493e-8106-769fb9466a6b"/>
    <w:p>
      <w:pPr>
        <w:pStyle w:val="CaptionedFigure"/>
      </w:pPr>
      <w:bookmarkStart w:id="55" w:name="fig:"/>
      <w:r>
        <w:drawing>
          <wp:inline>
            <wp:extent cx="5600700" cy="4232267"/>
            <wp:effectExtent b="0" l="0" r="0" t="0"/>
            <wp:docPr descr="Imagen 2: Resultados y métricas del diagnóstico de madurez SOA. Todos los dominios." title="" id="53" name="Picture"/>
            <a:graphic>
              <a:graphicData uri="http://schemas.openxmlformats.org/drawingml/2006/picture">
                <pic:pic>
                  <pic:nvPicPr>
                    <pic:cNvPr descr="images/madurezInfo_graf.png" id="54" name="Picture"/>
                    <pic:cNvPicPr>
                      <a:picLocks noChangeArrowheads="1" noChangeAspect="1"/>
                    </pic:cNvPicPr>
                  </pic:nvPicPr>
                  <pic:blipFill>
                    <a:blip r:embed="rId52"/>
                    <a:stretch>
                      <a:fillRect/>
                    </a:stretch>
                  </pic:blipFill>
                  <pic:spPr bwMode="auto">
                    <a:xfrm>
                      <a:off x="0" y="0"/>
                      <a:ext cx="5600700" cy="4232267"/>
                    </a:xfrm>
                    <a:prstGeom prst="rect">
                      <a:avLst/>
                    </a:prstGeom>
                    <a:noFill/>
                    <a:ln w="9525">
                      <a:noFill/>
                      <a:headEnd/>
                      <a:tailEnd/>
                    </a:ln>
                  </pic:spPr>
                </pic:pic>
              </a:graphicData>
            </a:graphic>
          </wp:inline>
        </w:drawing>
      </w:r>
      <w:bookmarkEnd w:id="55"/>
    </w:p>
    <w:p>
      <w:pPr>
        <w:pStyle w:val="ImageCaption"/>
      </w:pPr>
      <w:r>
        <w:t xml:space="preserve">Imagen 2: Resultados y métricas del diagnóstico de madurez SOA. Todos los dominios.</w:t>
      </w:r>
    </w:p>
    <w:bookmarkEnd w:id="0"/>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reunidos por el gobierno SOA, objeto de este proyecto, que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bookmarkStart w:id="0" w:name="fig:e2f60955-f837-424d-9a1c-c249bb857e55"/>
    <w:p>
      <w:pPr>
        <w:pStyle w:val="CaptionedFigure"/>
      </w:pPr>
      <w:bookmarkStart w:id="59" w:name="fig:"/>
      <w:r>
        <w:drawing>
          <wp:inline>
            <wp:extent cx="5600700" cy="5701722"/>
            <wp:effectExtent b="0" l="0" r="0" t="0"/>
            <wp:docPr descr="Imagen 3: Capacidades de negocio FNA que el gobierno SOA del FNA, objeto de este proyecto, busca impactar." title="" id="57" name="Picture"/>
            <a:graphic>
              <a:graphicData uri="http://schemas.openxmlformats.org/drawingml/2006/picture">
                <pic:pic>
                  <pic:nvPicPr>
                    <pic:cNvPr descr="images/vistacapacidadesfna.jpg" id="58" name="Picture"/>
                    <pic:cNvPicPr>
                      <a:picLocks noChangeArrowheads="1" noChangeAspect="1"/>
                    </pic:cNvPicPr>
                  </pic:nvPicPr>
                  <pic:blipFill>
                    <a:blip r:embed="rId56"/>
                    <a:stretch>
                      <a:fillRect/>
                    </a:stretch>
                  </pic:blipFill>
                  <pic:spPr bwMode="auto">
                    <a:xfrm>
                      <a:off x="0" y="0"/>
                      <a:ext cx="5600700" cy="5701722"/>
                    </a:xfrm>
                    <a:prstGeom prst="rect">
                      <a:avLst/>
                    </a:prstGeom>
                    <a:noFill/>
                    <a:ln w="9525">
                      <a:noFill/>
                      <a:headEnd/>
                      <a:tailEnd/>
                    </a:ln>
                  </pic:spPr>
                </pic:pic>
              </a:graphicData>
            </a:graphic>
          </wp:inline>
        </w:drawing>
      </w:r>
      <w:bookmarkEnd w:id="59"/>
    </w:p>
    <w:p>
      <w:pPr>
        <w:pStyle w:val="ImageCaption"/>
      </w:pPr>
      <w:r>
        <w:t xml:space="preserve">Imagen 3: Capacidades de negocio FNA que el gobierno SOA del FNA, objeto de este proyecto, busca impactar.</w:t>
      </w:r>
    </w:p>
    <w:bookmarkEnd w:id="0"/>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tbl>
      <w:tblPr>
        <w:tblStyle w:val="Table"/>
        <w:tblW w:type="pct" w:w="5000"/>
        <w:tblLook w:firstRow="1" w:lastRow="0" w:firstColumn="0" w:lastColumn="0" w:noHBand="0" w:noVBand="0" w:val="0020"/>
      </w:tblPr>
      <w:tblGrid>
        <w:gridCol w:w="1456"/>
        <w:gridCol w:w="6463"/>
      </w:tblGrid>
      <w:tr>
        <w:trPr>
          <w:tblHeader w:val="true"/>
        </w:trPr>
        <w:tc>
          <w:tcPr/>
          <w:p>
            <w:pPr>
              <w:pStyle w:val="Compact"/>
              <w:jc w:val="left"/>
            </w:pPr>
            <w:r>
              <w:t xml:space="preserve">Tema</w:t>
            </w:r>
          </w:p>
        </w:tc>
        <w:tc>
          <w:tcPr/>
          <w:p>
            <w:pPr>
              <w:pStyle w:val="Compact"/>
              <w:jc w:val="left"/>
            </w:pPr>
            <w:r>
              <w:t xml:space="preserve">Flujos Críticos de Trabajo FNA:</w:t>
            </w:r>
            <w:r>
              <w:t xml:space="preserve"> </w:t>
            </w:r>
            <w:r>
              <w:rPr>
                <w:bCs/>
                <w:b/>
              </w:rPr>
              <w:t xml:space="preserve">Elementos Susceptibles de Gobierno en el FNA</w:t>
            </w:r>
          </w:p>
        </w:tc>
      </w:tr>
      <w:tr>
        <w:tc>
          <w:tcPr/>
          <w:p>
            <w:pPr>
              <w:pStyle w:val="Compact"/>
              <w:jc w:val="left"/>
            </w:pPr>
            <w:r>
              <w:t xml:space="preserve">Palabras clave</w:t>
            </w:r>
          </w:p>
        </w:tc>
        <w:tc>
          <w:tcPr/>
          <w:p>
            <w:pPr>
              <w:pStyle w:val="Compact"/>
              <w:jc w:val="left"/>
            </w:pPr>
            <w:r>
              <w:t xml:space="preserve">SOA, Flujos críticos, Procesos, Gobierno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Elaboración propia</w:t>
            </w:r>
          </w:p>
        </w:tc>
      </w:tr>
      <w:tr>
        <w:tc>
          <w:tcPr/>
          <w:p>
            <w:pPr>
              <w:pStyle w:val="Compact"/>
              <w:jc w:val="left"/>
            </w:pPr>
            <w:r>
              <w:t xml:space="preserve">Version</w:t>
            </w:r>
          </w:p>
        </w:tc>
        <w:tc>
          <w:tcPr/>
          <w:p>
            <w:pPr>
              <w:pStyle w:val="Compact"/>
              <w:jc w:val="left"/>
            </w:pPr>
            <w:r>
              <w:t xml:space="preserve">1.bf71463 del 05 Jun 2023</w:t>
            </w:r>
          </w:p>
        </w:tc>
      </w:tr>
      <w:tr>
        <w:tc>
          <w:tcPr/>
          <w:p>
            <w:pPr>
              <w:pStyle w:val="Compact"/>
              <w:jc w:val="left"/>
            </w:pPr>
            <w:r>
              <w:t xml:space="preserve">Vínculos</w:t>
            </w:r>
          </w:p>
        </w:tc>
        <w:tc>
          <w:tcPr/>
          <w:p>
            <w:pPr>
              <w:pStyle w:val="Compact"/>
              <w:jc w:val="left"/>
            </w:pPr>
            <w:hyperlink r:id="rId33">
              <w:r>
                <w:rPr>
                  <w:rStyle w:val="Hipervnculo"/>
                </w:rPr>
                <w:t xml:space="preserve">N001d. Ejecución Plan de Trabajo SOA</w:t>
              </w:r>
            </w:hyperlink>
            <w:hyperlink r:id="rId34">
              <w:r>
                <w:rPr>
                  <w:rStyle w:val="Hipervnculo"/>
                </w:rPr>
                <w:t xml:space="preserve">N003a. Procesos de Negocio FNA</w:t>
              </w:r>
            </w:hyperlink>
          </w:p>
        </w:tc>
      </w:tr>
    </w:tbl>
    <w:p>
      <w:pPr>
        <w:pStyle w:val="Textoindependiente"/>
      </w:pPr>
    </w:p>
    <w:bookmarkEnd w:id="60"/>
    <w:bookmarkEnd w:id="61"/>
    <w:bookmarkStart w:id="89" w:name="X1fdd0a35b227ad61fc07790ee356b5036d6a9a1"/>
    <w:p>
      <w:pPr>
        <w:pStyle w:val="Ttulo1"/>
      </w:pPr>
      <w:r>
        <w:t xml:space="preserve">Flujos Críticos Susceptibles de Gobierno FNA</w:t>
      </w:r>
    </w:p>
    <w:p>
      <w:pPr>
        <w:pStyle w:val="FirstParagraph"/>
      </w:pPr>
      <w:r>
        <w:t xml:space="preserve">Los flujos críticos proporcionan información dos tipos de información valiosa: la manera en que funcionan las cosas dentro del FNA, y qué las causas y debilidades de estas.</w:t>
      </w:r>
    </w:p>
    <w:p>
      <w:pPr>
        <w:pStyle w:val="Textoindependiente"/>
      </w:pPr>
    </w:p>
    <w:bookmarkStart w:id="62" w:name="X2f41d53f0866c39cc0fc210fff28f9fdf41f0d5"/>
    <w:p>
      <w:pPr>
        <w:pStyle w:val="Ttulo2"/>
      </w:pPr>
      <w:r>
        <w:t xml:space="preserve">Plantilla de Realización del Flujo Crítico</w:t>
      </w:r>
    </w:p>
    <w:p>
      <w:pPr>
        <w:pStyle w:val="FirstParagraph"/>
      </w:pPr>
      <w:r>
        <w:t xml:space="preserve">Para facilitar la recolección de los flujos críticos, presentamos la siguiente plantilla personalizada para el FNA.</w:t>
      </w:r>
    </w:p>
    <w:p>
      <w:pPr>
        <w:numPr>
          <w:ilvl w:val="0"/>
          <w:numId w:val="1008"/>
        </w:numPr>
        <w:pStyle w:val="Compact"/>
      </w:pPr>
      <w:r>
        <w:t xml:space="preserve">Encabezado: describir el dueño del flujo.</w:t>
      </w:r>
    </w:p>
    <w:p>
      <w:pPr>
        <w:numPr>
          <w:ilvl w:val="0"/>
          <w:numId w:val="1008"/>
        </w:numPr>
        <w:pStyle w:val="Compact"/>
      </w:pPr>
      <w:r>
        <w:t xml:space="preserve">Atención: cómo o dónde inicia el flujo.</w:t>
      </w:r>
    </w:p>
    <w:p>
      <w:pPr>
        <w:numPr>
          <w:ilvl w:val="0"/>
          <w:numId w:val="1008"/>
        </w:numPr>
        <w:pStyle w:val="Compact"/>
      </w:pPr>
      <w:r>
        <w:t xml:space="preserve">Petición: registro de la petición.</w:t>
      </w:r>
    </w:p>
    <w:p>
      <w:pPr>
        <w:numPr>
          <w:ilvl w:val="0"/>
          <w:numId w:val="1008"/>
        </w:numPr>
        <w:pStyle w:val="Compact"/>
      </w:pPr>
      <w:r>
        <w:t xml:space="preserve">Arquitectura: pasos del flujo en los que participa el arquitecto.</w:t>
      </w:r>
    </w:p>
    <w:p>
      <w:pPr>
        <w:numPr>
          <w:ilvl w:val="0"/>
          <w:numId w:val="1008"/>
        </w:numPr>
        <w:pStyle w:val="Compact"/>
      </w:pPr>
      <w:r>
        <w:t xml:space="preserve">Valor: valor que este flujo genera para el FNA.</w:t>
      </w:r>
    </w:p>
    <w:p>
      <w:pPr>
        <w:numPr>
          <w:ilvl w:val="0"/>
          <w:numId w:val="1008"/>
        </w:numPr>
        <w:pStyle w:val="Compact"/>
      </w:pPr>
      <w:r>
        <w:t xml:space="preserve">Seguimiento: validación de la generación de valor.</w:t>
      </w:r>
    </w:p>
    <w:p>
      <w:pPr>
        <w:numPr>
          <w:ilvl w:val="0"/>
          <w:numId w:val="1008"/>
        </w:numPr>
        <w:pStyle w:val="Compact"/>
      </w:pPr>
      <w:r>
        <w:t xml:space="preserve">Entrega: entregado del resultado del flujo.</w:t>
      </w:r>
    </w:p>
    <w:p>
      <w:pPr>
        <w:numPr>
          <w:ilvl w:val="0"/>
          <w:numId w:val="1008"/>
        </w:numPr>
        <w:pStyle w:val="Compact"/>
      </w:pPr>
      <w:r>
        <w:t xml:space="preserve">Repetición: consideaciones de mejora.</w:t>
      </w:r>
    </w:p>
    <w:p>
      <w:pPr>
        <w:pStyle w:val="FirstParagraph"/>
      </w:pPr>
      <w:r>
        <w:rPr>
          <w:bCs/>
          <w:b/>
        </w:rPr>
        <w:t xml:space="preserve">Nota</w:t>
      </w:r>
      <w:r>
        <w:t xml:space="preserve">: para más información del uso y apropiación de la herramienta Flujo Crítifo de Trabajo, ver el anexo</w:t>
      </w:r>
      <w:r>
        <w:t xml:space="preserve"> </w:t>
      </w:r>
      <w:r>
        <w:rPr>
          <w:iCs/>
          <w:i/>
        </w:rPr>
        <w:t xml:space="preserve">CCF</w:t>
      </w:r>
      <w:r>
        <w:t xml:space="preserve">, más adelante.</w:t>
      </w:r>
    </w:p>
    <w:p>
      <w:pPr>
        <w:pStyle w:val="Textoindependiente"/>
      </w:pPr>
    </w:p>
    <w:bookmarkEnd w:id="62"/>
    <w:bookmarkStart w:id="75" w:name="X1f86804851e349b618cafe900a3503771ec5358"/>
    <w:p>
      <w:pPr>
        <w:pStyle w:val="Ttulo2"/>
      </w:pPr>
      <w:r>
        <w:t xml:space="preserve">CCF. Flujo Crítico Trabajo: 01. Aprobación de Cesantías FNA (biometría)</w:t>
      </w:r>
    </w:p>
    <w:p>
      <w:pPr>
        <w:pStyle w:val="FirstParagraph"/>
      </w:pPr>
      <w:r>
        <w:t xml:space="preserve">Aprobación de cesantías FNA.</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Vicepresidencia de Operaciones</w:t>
            </w:r>
          </w:p>
        </w:tc>
      </w:tr>
      <w:tr>
        <w:tc>
          <w:tcPr/>
          <w:p>
            <w:pPr>
              <w:pStyle w:val="Compact"/>
              <w:jc w:val="left"/>
            </w:pPr>
            <w:r>
              <w:t xml:space="preserve">Producto/Servicio:</w:t>
            </w:r>
          </w:p>
        </w:tc>
        <w:tc>
          <w:tcPr/>
          <w:p>
            <w:pPr>
              <w:pStyle w:val="Compact"/>
              <w:jc w:val="left"/>
            </w:pPr>
            <w:r>
              <w:t xml:space="preserve">Biometria</w:t>
            </w:r>
          </w:p>
        </w:tc>
      </w:tr>
    </w:tbl>
    <w:p>
      <w:pPr>
        <w:pStyle w:val="Textoindependiente"/>
      </w:pPr>
    </w:p>
    <w:bookmarkStart w:id="63" w:name="atención"/>
    <w:p>
      <w:pPr>
        <w:pStyle w:val="Ttulo3"/>
      </w:pPr>
      <w:r>
        <w:t xml:space="preserve">Atención</w:t>
      </w:r>
    </w:p>
    <w:p>
      <w:pPr>
        <w:pStyle w:val="FirstParagraph"/>
      </w:pPr>
      <w:r>
        <w:t xml:space="preserve">El consumidor financiero del FNA, se acerca a los puntos de atención para retiro de cesantias y/o AVC dentro del proceso se le capturan las huellas por dónde llega o inicia el flujo.</w:t>
      </w:r>
    </w:p>
    <w:bookmarkEnd w:id="63"/>
    <w:bookmarkStart w:id="64" w:name="petición"/>
    <w:p>
      <w:pPr>
        <w:pStyle w:val="Ttulo3"/>
      </w:pPr>
      <w:r>
        <w:t xml:space="preserve">Petición</w:t>
      </w:r>
    </w:p>
    <w:p>
      <w:pPr>
        <w:pStyle w:val="FirstParagraph"/>
      </w:pPr>
      <w:r>
        <w:t xml:space="preserve">Los registros de biometria son entregados por el operador biometrico a traves de correo electronico al usuario lider del area</w:t>
      </w:r>
    </w:p>
    <w:bookmarkEnd w:id="64"/>
    <w:bookmarkStart w:id="65" w:name="arquitectura"/>
    <w:p>
      <w:pPr>
        <w:pStyle w:val="Ttulo3"/>
      </w:pPr>
      <w:r>
        <w:t xml:space="preserve">Arquitectura</w:t>
      </w:r>
    </w:p>
    <w:p>
      <w:pPr>
        <w:numPr>
          <w:ilvl w:val="0"/>
          <w:numId w:val="1009"/>
        </w:numPr>
        <w:pStyle w:val="Compact"/>
      </w:pPr>
      <w:r>
        <w:t xml:space="preserve">COBIS envia un ID al operador biometrico</w:t>
      </w:r>
    </w:p>
    <w:p>
      <w:pPr>
        <w:numPr>
          <w:ilvl w:val="0"/>
          <w:numId w:val="1009"/>
        </w:numPr>
        <w:pStyle w:val="Compact"/>
      </w:pPr>
      <w:r>
        <w:t xml:space="preserve">El operador biometrico responde el ID</w:t>
      </w:r>
    </w:p>
    <w:p>
      <w:pPr>
        <w:numPr>
          <w:ilvl w:val="0"/>
          <w:numId w:val="1009"/>
        </w:numPr>
        <w:pStyle w:val="Compact"/>
      </w:pPr>
      <w:r>
        <w:t xml:space="preserve">El operador levanta el servicio</w:t>
      </w:r>
    </w:p>
    <w:p>
      <w:pPr>
        <w:numPr>
          <w:ilvl w:val="0"/>
          <w:numId w:val="1009"/>
        </w:numPr>
        <w:pStyle w:val="Compact"/>
      </w:pPr>
      <w:r>
        <w:t xml:space="preserve">COBIS envía la petición de biometria</w:t>
      </w:r>
    </w:p>
    <w:p>
      <w:pPr>
        <w:numPr>
          <w:ilvl w:val="0"/>
          <w:numId w:val="1009"/>
        </w:numPr>
        <w:pStyle w:val="Compact"/>
      </w:pPr>
      <w:r>
        <w:t xml:space="preserve">El operador biometrico responde con un hit o no (hit: la persona es quien dice ser)</w:t>
      </w:r>
    </w:p>
    <w:p>
      <w:pPr>
        <w:pStyle w:val="FirstParagraph"/>
      </w:pPr>
      <w:r>
        <w:rPr>
          <w:bCs/>
          <w:b/>
        </w:rPr>
        <w:t xml:space="preserve">Notas</w:t>
      </w:r>
      <w:r>
        <w:t xml:space="preserve">: CU, escenarios y excepciones, Sistemas distribuidos y QA, Fortalecimiento de ambientes QA, Categorización complejidad, Correspondencia complejidad - diseño.</w:t>
      </w:r>
    </w:p>
    <w:bookmarkEnd w:id="65"/>
    <w:bookmarkStart w:id="66" w:name="valor"/>
    <w:p>
      <w:pPr>
        <w:pStyle w:val="Ttulo3"/>
      </w:pPr>
      <w:r>
        <w:t xml:space="preserve">Valor</w:t>
      </w:r>
    </w:p>
    <w:p>
      <w:pPr>
        <w:pStyle w:val="FirstParagraph"/>
      </w:pPr>
      <w:r>
        <w:t xml:space="preserve">El valor es alto, debido a que afecta al consumidor financiero en el retiro de las cesantias</w:t>
      </w:r>
    </w:p>
    <w:bookmarkEnd w:id="66"/>
    <w:bookmarkStart w:id="67" w:name="seguimiento"/>
    <w:p>
      <w:pPr>
        <w:pStyle w:val="Ttulo3"/>
      </w:pPr>
      <w:r>
        <w:t xml:space="preserve">Seguimiento</w:t>
      </w:r>
    </w:p>
    <w:p>
      <w:pPr>
        <w:pStyle w:val="FirstParagraph"/>
      </w:pPr>
      <w:r>
        <w:t xml:space="preserve">El seguimiento se realiza diariamente con la conciliación aplicada por el área usuaria.</w:t>
      </w:r>
    </w:p>
    <w:bookmarkEnd w:id="67"/>
    <w:bookmarkStart w:id="68" w:name="entrega"/>
    <w:p>
      <w:pPr>
        <w:pStyle w:val="Ttulo3"/>
      </w:pPr>
      <w:r>
        <w:t xml:space="preserve">Entrega</w:t>
      </w:r>
    </w:p>
    <w:p>
      <w:pPr>
        <w:pStyle w:val="FirstParagraph"/>
      </w:pPr>
      <w:r>
        <w:t xml:space="preserve">El resultado del trabajo es la implementacion de herramientas de gobierno que permitan el fortalecimiento en el diseño para la aplicacion</w:t>
      </w:r>
    </w:p>
    <w:bookmarkEnd w:id="68"/>
    <w:bookmarkStart w:id="69" w:name="repetición"/>
    <w:p>
      <w:pPr>
        <w:pStyle w:val="Ttulo3"/>
      </w:pPr>
      <w:r>
        <w:t xml:space="preserve">Repetición</w:t>
      </w:r>
    </w:p>
    <w:p>
      <w:pPr>
        <w:pStyle w:val="FirstParagraph"/>
      </w:pPr>
      <w:r>
        <w:t xml:space="preserve">Implementar un buen diseño en la aplicacion y malla de calidad en la pruebas.</w:t>
      </w:r>
    </w:p>
    <w:bookmarkEnd w:id="69"/>
    <w:bookmarkStart w:id="74" w:name="anexo.-diagrama-del-flujo"/>
    <w:p>
      <w:pPr>
        <w:pStyle w:val="Ttulo3"/>
      </w:pPr>
      <w:r>
        <w:t xml:space="preserve">Anexo. Diagrama del flujo</w:t>
      </w:r>
    </w:p>
    <w:p>
      <w:pPr>
        <w:pStyle w:val="Figure"/>
      </w:pPr>
      <w:r>
        <w:drawing>
          <wp:inline>
            <wp:extent cx="5600700" cy="2725436"/>
            <wp:effectExtent b="0" l="0" r="0" t="0"/>
            <wp:docPr descr="" title="" id="71" name="Picture"/>
            <a:graphic>
              <a:graphicData uri="http://schemas.openxmlformats.org/drawingml/2006/picture">
                <pic:pic>
                  <pic:nvPicPr>
                    <pic:cNvPr descr="images/flujoBiometriafna.jpg" id="72" name="Picture"/>
                    <pic:cNvPicPr>
                      <a:picLocks noChangeArrowheads="1" noChangeAspect="1"/>
                    </pic:cNvPicPr>
                  </pic:nvPicPr>
                  <pic:blipFill>
                    <a:blip r:embed="rId70"/>
                    <a:stretch>
                      <a:fillRect/>
                    </a:stretch>
                  </pic:blipFill>
                  <pic:spPr bwMode="auto">
                    <a:xfrm>
                      <a:off x="0" y="0"/>
                      <a:ext cx="5600700" cy="2725436"/>
                    </a:xfrm>
                    <a:prstGeom prst="rect">
                      <a:avLst/>
                    </a:prstGeom>
                    <a:noFill/>
                    <a:ln w="9525">
                      <a:noFill/>
                      <a:headEnd/>
                      <a:tailEnd/>
                    </a:ln>
                  </pic:spPr>
                </pic:pic>
              </a:graphicData>
            </a:graphic>
          </wp:inline>
        </w:drawing>
      </w:r>
    </w:p>
    <w:p>
      <w:pPr>
        <w:pStyle w:val="FirstParagraph"/>
      </w:pPr>
      <w:hyperlink r:id="rId73">
        <w:r>
          <w:rPr>
            <w:rStyle w:val="Hipervnculo"/>
          </w:rPr>
          <w:t xml:space="preserve">Imagen.</w:t>
        </w:r>
      </w:hyperlink>
      <w:r>
        <w:t xml:space="preserve"> </w:t>
      </w:r>
      <w:r>
        <w:t xml:space="preserve">Flujo de trabajo crítico, aprobación de censatía con biometría FNA, para el análisis de las fortalezas, debilidades, y otras consideraciones de gobierno SOA del FNA.</w:t>
      </w:r>
    </w:p>
    <w:p>
      <w:pPr>
        <w:pStyle w:val="Textoindependiente"/>
      </w:pPr>
      <w:r>
        <w:rPr>
          <w:iCs/>
          <w:i/>
        </w:rPr>
        <w:t xml:space="preserve">Fuente: elaboración propia.</w:t>
      </w:r>
    </w:p>
    <w:p>
      <w:pPr>
        <w:pStyle w:val="Textoindependiente"/>
      </w:pPr>
    </w:p>
    <w:bookmarkEnd w:id="74"/>
    <w:bookmarkEnd w:id="75"/>
    <w:bookmarkStart w:id="79" w:name="X90697f6e3527c2c0cd9facf2e788b46da8b14dd"/>
    <w:p>
      <w:pPr>
        <w:pStyle w:val="Ttulo2"/>
      </w:pPr>
      <w:r>
        <w:t xml:space="preserve">Análisis CCF01 Aprobación de Cesantías (biometría)</w:t>
      </w:r>
    </w:p>
    <w:p>
      <w:pPr>
        <w:pStyle w:val="FirstParagraph"/>
      </w:pPr>
      <w:r>
        <w:t xml:space="preserve">Listamos a continuación las características del flujo de aprobación de cesantías del FNA encontradas desde la perspectiva de gobierno SOA y de las arquitecturas del FNA.</w:t>
      </w:r>
    </w:p>
    <w:p>
      <w:pPr>
        <w:pStyle w:val="Textoindependiente"/>
      </w:pPr>
      <w:r>
        <w:t xml:space="preserve">Características del flujo de aprobación de cesantía del FNA.</w:t>
      </w:r>
    </w:p>
    <w:bookmarkStart w:id="76" w:name="debilidad-en-la-completitud-de-los-cu"/>
    <w:p>
      <w:pPr>
        <w:pStyle w:val="Ttulo3"/>
      </w:pPr>
      <w:r>
        <w:t xml:space="preserve">Debilidad en la Completitud de los CU</w:t>
      </w:r>
    </w:p>
    <w:p>
      <w:pPr>
        <w:pStyle w:val="FirstParagraph"/>
      </w:pPr>
      <w:r>
        <w:t xml:space="preserve">Denota debilidad en la gestión de los casos de uso (CU)del FNA. En particular, con la exhaustividad de lo(s) caso(s). El flujo tal como está, al momento de esta identificación, da razón de la falta de inclusión de variantes que pueda tomar la aprobación. Es decir, el CU no contenpla la cantidad de escenarios, caminos alternos, y excepciones que le den al caso el nivel de exhaustividad que la complejidad de la aprobación de las cesantía demanda..</w:t>
      </w:r>
    </w:p>
    <w:p>
      <w:pPr>
        <w:pStyle w:val="Textoindependiente"/>
      </w:pPr>
      <w:r>
        <w:t xml:space="preserve">Sistemas distribuidos y QA, Fortalecimiento de ambientes QA, Categorización complejidad, Correspondencia complejidad - diseño.</w:t>
      </w:r>
    </w:p>
    <w:bookmarkEnd w:id="76"/>
    <w:bookmarkStart w:id="77" w:name="X9df0710487ade068c9bb95f8703e83c80573098"/>
    <w:p>
      <w:pPr>
        <w:pStyle w:val="Ttulo3"/>
      </w:pPr>
      <w:r>
        <w:t xml:space="preserve">Responsabilidades y Procedimientos (actividades)</w:t>
      </w:r>
    </w:p>
    <w:p>
      <w:pPr>
        <w:pStyle w:val="FirstParagraph"/>
      </w:pPr>
      <w:r>
        <w:t xml:space="preserve">Existen tres responsabilidades claras que participan y sostienen a este flujo. Primero, la del operador del FNA que convalida los coicidencias de petición y la ocurrencia (autenticación) del beneficiario solicitante. Segundo, la del servicio de autenticación biométrico de la huella del beneficiario, y la relación de este con la Cancillería. La del ERP COBIS es otra. Este debe registrar las transacciones de ambos extremos, del solictante y la del autenticador, para luego failitarle al primero la conciliacieon de las transacciones solicitud-aprobación.</w:t>
      </w:r>
    </w:p>
    <w:bookmarkEnd w:id="77"/>
    <w:bookmarkStart w:id="78" w:name="asignación-de-arquitectura"/>
    <w:p>
      <w:pPr>
        <w:pStyle w:val="Ttulo3"/>
      </w:pPr>
      <w:r>
        <w:t xml:space="preserve">Asignación de Arquitectura</w:t>
      </w:r>
    </w:p>
    <w:p>
      <w:pPr>
        <w:pStyle w:val="FirstParagraph"/>
      </w:pPr>
      <w:r>
        <w:t xml:space="preserve">En la siguiente tabla realizaremos las asignaciones de las actividaes/respomsabilidades con las partes de la arquitectura del FNA que son relevantes para el gobierno.</w:t>
      </w:r>
    </w:p>
    <w:p>
      <w:pPr>
        <w:pStyle w:val="TableCaption"/>
      </w:pPr>
      <w:r>
        <w:t xml:space="preserve">Tabla de asignación del flujo 01, Aprobación de Cesantías FNA.</w:t>
      </w:r>
    </w:p>
    <w:tbl>
      <w:tblPr>
        <w:tblStyle w:val="Table"/>
        <w:tblW w:type="pct" w:w="5000"/>
        <w:tblLook w:firstRow="1" w:lastRow="0" w:firstColumn="0" w:lastColumn="0" w:noHBand="0" w:noVBand="0" w:val="0020"/>
        <w:tblCaption w:val="Tabla de asignación del flujo 01, Aprobación de Cesantías FNA."/>
      </w:tblPr>
      <w:tblGrid>
        <w:gridCol w:w="1460"/>
        <w:gridCol w:w="4382"/>
        <w:gridCol w:w="1076"/>
        <w:gridCol w:w="999"/>
      </w:tblGrid>
      <w:tr>
        <w:trPr>
          <w:tblHeader w:val="true"/>
        </w:trPr>
        <w:tc>
          <w:tcPr/>
          <w:p>
            <w:pPr>
              <w:pStyle w:val="Compact"/>
              <w:jc w:val="left"/>
            </w:pPr>
            <w:r>
              <w:t xml:space="preserve">Arquitectura</w:t>
            </w:r>
          </w:p>
        </w:tc>
        <w:tc>
          <w:tcPr/>
          <w:p>
            <w:pPr>
              <w:pStyle w:val="Compact"/>
              <w:jc w:val="left"/>
            </w:pPr>
            <w:r>
              <w:t xml:space="preserve">Descripción</w:t>
            </w:r>
          </w:p>
        </w:tc>
        <w:tc>
          <w:tcPr/>
          <w:p>
            <w:pPr>
              <w:pStyle w:val="Compact"/>
              <w:jc w:val="left"/>
            </w:pPr>
            <w:r>
              <w:t xml:space="preserve">Actividad</w:t>
            </w:r>
          </w:p>
        </w:tc>
        <w:tc>
          <w:tcPr/>
          <w:p>
            <w:pPr>
              <w:pStyle w:val="Compact"/>
              <w:jc w:val="left"/>
            </w:pPr>
            <w:r>
              <w:t xml:space="preserve">Responsable</w:t>
            </w:r>
          </w:p>
        </w:tc>
      </w:tr>
      <w:tr>
        <w:tc>
          <w:tcPr/>
          <w:p>
            <w:pPr>
              <w:pStyle w:val="Compact"/>
              <w:jc w:val="left"/>
            </w:pPr>
            <w:r>
              <w:t xml:space="preserve">ERP Cobis, (ítem)</w:t>
            </w:r>
          </w:p>
        </w:tc>
        <w:tc>
          <w:tcPr/>
          <w:p>
            <w:pPr>
              <w:pStyle w:val="Compact"/>
              <w:jc w:val="left"/>
            </w:pPr>
            <w:r>
              <w:t xml:space="preserve">Parte de Cobis que realiza la conciliación</w:t>
            </w:r>
          </w:p>
        </w:tc>
        <w:tc>
          <w:tcPr/>
          <w:p>
            <w:pPr>
              <w:pStyle w:val="Compact"/>
              <w:jc w:val="left"/>
            </w:pPr>
            <w:r>
              <w:t xml:space="preserve">Conciliación</w:t>
            </w:r>
          </w:p>
        </w:tc>
        <w:tc>
          <w:tcPr/>
          <w:p>
            <w:pPr>
              <w:pStyle w:val="Compact"/>
              <w:jc w:val="left"/>
            </w:pPr>
            <w:r>
              <w:t xml:space="preserve">Sistema</w:t>
            </w:r>
          </w:p>
        </w:tc>
      </w:tr>
      <w:tr>
        <w:tc>
          <w:tcPr/>
          <w:p>
            <w:pPr>
              <w:pStyle w:val="Compact"/>
              <w:jc w:val="left"/>
            </w:pPr>
            <w:r>
              <w:t xml:space="preserve">ERP Cobis, (ítem)</w:t>
            </w:r>
          </w:p>
        </w:tc>
        <w:tc>
          <w:tcPr/>
          <w:p>
            <w:pPr>
              <w:pStyle w:val="Compact"/>
              <w:jc w:val="left"/>
            </w:pPr>
            <w:r>
              <w:t xml:space="preserve">Parte de Cobis que registra la solicitud</w:t>
            </w:r>
          </w:p>
        </w:tc>
        <w:tc>
          <w:tcPr/>
          <w:p>
            <w:pPr>
              <w:pStyle w:val="Compact"/>
              <w:jc w:val="left"/>
            </w:pPr>
            <w:r>
              <w:t xml:space="preserve">Solicitud</w:t>
            </w:r>
          </w:p>
        </w:tc>
        <w:tc>
          <w:tcPr/>
          <w:p>
            <w:pPr>
              <w:pStyle w:val="Compact"/>
              <w:jc w:val="left"/>
            </w:pPr>
            <w:r>
              <w:t xml:space="preserve">Operador</w:t>
            </w:r>
          </w:p>
        </w:tc>
      </w:tr>
      <w:tr>
        <w:tc>
          <w:tcPr/>
          <w:p>
            <w:pPr>
              <w:pStyle w:val="Compact"/>
              <w:jc w:val="left"/>
            </w:pPr>
            <w:r>
              <w:t xml:space="preserve">ERP Cobis, (ítem)</w:t>
            </w:r>
          </w:p>
        </w:tc>
        <w:tc>
          <w:tcPr/>
          <w:p>
            <w:pPr>
              <w:pStyle w:val="Compact"/>
              <w:jc w:val="left"/>
            </w:pPr>
            <w:r>
              <w:t xml:space="preserve">Parte de Cobis que recibe la respuesta de la aprobación</w:t>
            </w:r>
          </w:p>
        </w:tc>
        <w:tc>
          <w:tcPr/>
          <w:p>
            <w:pPr>
              <w:pStyle w:val="Compact"/>
              <w:jc w:val="left"/>
            </w:pPr>
            <w:r>
              <w:t xml:space="preserve">Aprobación</w:t>
            </w:r>
          </w:p>
        </w:tc>
        <w:tc>
          <w:tcPr/>
          <w:p>
            <w:pPr>
              <w:pStyle w:val="Compact"/>
              <w:jc w:val="left"/>
            </w:pPr>
            <w:r>
              <w:t xml:space="preserve">Sistema</w:t>
            </w:r>
          </w:p>
        </w:tc>
      </w:tr>
    </w:tbl>
    <w:p>
      <w:pPr>
        <w:pStyle w:val="Textoindependiente"/>
      </w:pPr>
    </w:p>
    <w:bookmarkEnd w:id="78"/>
    <w:bookmarkEnd w:id="79"/>
    <w:bookmarkStart w:id="87" w:name="Xe049a04525558b451f1ce078de1ef1f46673f2f"/>
    <w:p>
      <w:pPr>
        <w:pStyle w:val="Ttulo2"/>
      </w:pPr>
      <w:r>
        <w:t xml:space="preserve">CCF. Flujo Crítico Trabajo: 02. Inversión TI FNA (proveedores)</w:t>
      </w:r>
    </w:p>
    <w:p>
      <w:pPr>
        <w:pStyle w:val="FirstParagraph"/>
      </w:pPr>
      <w:r>
        <w:t xml:space="preserve">Uno de los objetivos del Gobierno SOA es la evaluación de la inversión de TI del FNA. Se incluyen los riesgos técnicos de las inversiones (implementaciones) de TI.</w:t>
      </w:r>
    </w:p>
    <w:p>
      <w:pPr>
        <w:pStyle w:val="Textoindependiente"/>
      </w:pPr>
      <w:r>
        <w:rPr>
          <w:bCs/>
          <w:b/>
        </w:rPr>
        <w:t xml:space="preserve">Nota</w:t>
      </w:r>
      <w:r>
        <w:t xml:space="preserve">: una forma de evaluar las inversiones de TI es mediante el parámetro de efectividad de la inversiones, entendido como la relación de la utilidad percibida, que puede cuantitativa o no, y los costos y esfuerzos en los que incurrió.</w:t>
      </w:r>
    </w:p>
    <w:p>
      <w:pPr>
        <w:pStyle w:val="Textoindependiente"/>
      </w:pP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t xml:space="preserve">Gerencia de Tecnología FNA</w:t>
            </w:r>
          </w:p>
        </w:tc>
      </w:tr>
      <w:tr>
        <w:tc>
          <w:tcPr/>
          <w:p>
            <w:pPr>
              <w:pStyle w:val="Compact"/>
              <w:jc w:val="left"/>
            </w:pPr>
            <w:r>
              <w:t xml:space="preserve">Producto/Servicio:</w:t>
            </w:r>
          </w:p>
        </w:tc>
        <w:tc>
          <w:tcPr/>
          <w:p>
            <w:pPr>
              <w:pStyle w:val="Compact"/>
              <w:jc w:val="left"/>
            </w:pPr>
            <w:r>
              <w:t xml:space="preserve">Inversión TI</w:t>
            </w:r>
          </w:p>
        </w:tc>
      </w:tr>
    </w:tbl>
    <w:p>
      <w:pPr>
        <w:pStyle w:val="Textoindependiente"/>
      </w:pPr>
    </w:p>
    <w:bookmarkStart w:id="80" w:name="atención-1"/>
    <w:p>
      <w:pPr>
        <w:pStyle w:val="Ttulo3"/>
      </w:pPr>
      <w:r>
        <w:t xml:space="preserve">Atención</w:t>
      </w:r>
    </w:p>
    <w:p>
      <w:pPr>
        <w:pStyle w:val="FirstParagraph"/>
      </w:pPr>
      <w:r>
        <w:t xml:space="preserve">Estudios internos o consultorías sirve de justificación para la planeacieon de una posible inversión de TI.</w:t>
      </w:r>
    </w:p>
    <w:bookmarkEnd w:id="80"/>
    <w:bookmarkStart w:id="81" w:name="petición-1"/>
    <w:p>
      <w:pPr>
        <w:pStyle w:val="Ttulo3"/>
      </w:pPr>
      <w:r>
        <w:t xml:space="preserve">Petición</w:t>
      </w:r>
    </w:p>
    <w:p>
      <w:pPr>
        <w:pStyle w:val="FirstParagraph"/>
      </w:pPr>
      <w:r>
        <w:t xml:space="preserve">Diligencia el formato de la necesidad al grupo de contratacion, y radicar la solicitud a contratacion. Registro en SECOP(2) el procesos publico y finalmente queda la minuta del contrato.</w:t>
      </w:r>
    </w:p>
    <w:bookmarkEnd w:id="81"/>
    <w:bookmarkStart w:id="82" w:name="arquitectura-1"/>
    <w:p>
      <w:pPr>
        <w:pStyle w:val="Ttulo3"/>
      </w:pPr>
      <w:r>
        <w:t xml:space="preserve">Arquitectura</w:t>
      </w:r>
    </w:p>
    <w:p>
      <w:pPr>
        <w:numPr>
          <w:ilvl w:val="0"/>
          <w:numId w:val="1010"/>
        </w:numPr>
        <w:pStyle w:val="Compact"/>
      </w:pPr>
      <w:r>
        <w:t xml:space="preserve">Implementa la solucion en produccion</w:t>
      </w:r>
    </w:p>
    <w:p>
      <w:pPr>
        <w:numPr>
          <w:ilvl w:val="0"/>
          <w:numId w:val="1010"/>
        </w:numPr>
        <w:pStyle w:val="Compact"/>
      </w:pPr>
      <w:r>
        <w:t xml:space="preserve">Entrega la operacion al grupo de soporte para gestion del dia a dia</w:t>
      </w:r>
    </w:p>
    <w:p>
      <w:pPr>
        <w:numPr>
          <w:ilvl w:val="0"/>
          <w:numId w:val="1010"/>
        </w:numPr>
        <w:pStyle w:val="Compact"/>
      </w:pPr>
      <w:r>
        <w:t xml:space="preserve">Cada fábrica tiene un grupo de soporte y mantenimiento para soportes e incidencias y otro para desarollo y nuevas funcionalidades.</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bookmarkEnd w:id="82"/>
    <w:bookmarkStart w:id="83" w:name="valor-1"/>
    <w:p>
      <w:pPr>
        <w:pStyle w:val="Ttulo3"/>
      </w:pPr>
      <w:r>
        <w:t xml:space="preserve">Valor</w:t>
      </w:r>
    </w:p>
    <w:p>
      <w:pPr>
        <w:pStyle w:val="FirstParagraph"/>
      </w:pPr>
      <w:r>
        <w:t xml:space="preserve">No determinado. Al momento de la realización de este flujo no encontramos el procedimiento o instrumento, o persona que calcula del valor retornado de la inversión de TI al FNA.</w:t>
      </w:r>
    </w:p>
    <w:bookmarkEnd w:id="83"/>
    <w:bookmarkStart w:id="84" w:name="seguimiento-1"/>
    <w:p>
      <w:pPr>
        <w:pStyle w:val="Ttulo3"/>
      </w:pPr>
      <w:r>
        <w:t xml:space="preserve">Seguimiento</w:t>
      </w:r>
    </w:p>
    <w:p>
      <w:pPr>
        <w:pStyle w:val="FirstParagraph"/>
      </w:pPr>
      <w:r>
        <w:t xml:space="preserve">No determinado. Al momento de la realización de este flujo no encontramos el procedimiento o instrumento, o persona que calcula del valor retornado de la inversión de TI al FNA.</w:t>
      </w:r>
    </w:p>
    <w:bookmarkEnd w:id="84"/>
    <w:bookmarkStart w:id="85" w:name="entrega-1"/>
    <w:p>
      <w:pPr>
        <w:pStyle w:val="Ttulo3"/>
      </w:pPr>
      <w:r>
        <w:t xml:space="preserve">Entrega</w:t>
      </w:r>
    </w:p>
    <w:p>
      <w:pPr>
        <w:pStyle w:val="FirstParagraph"/>
      </w:pPr>
      <w:r>
        <w:t xml:space="preserve">Una vez realizada la implementa de la inversión TI, la solucion en produccion es entregada en operacion al grupo de soporte del FNA.</w:t>
      </w:r>
    </w:p>
    <w:bookmarkEnd w:id="85"/>
    <w:bookmarkStart w:id="86" w:name="repetición-1"/>
    <w:p>
      <w:pPr>
        <w:pStyle w:val="Ttulo3"/>
      </w:pPr>
      <w:r>
        <w:t xml:space="preserve">Repetición</w:t>
      </w:r>
    </w:p>
    <w:p>
      <w:pPr>
        <w:pStyle w:val="FirstParagraph"/>
      </w:pPr>
      <w:r>
        <w:t xml:space="preserve">El flujo es repetible en virtud de la Ley 80.</w:t>
      </w:r>
    </w:p>
    <w:bookmarkEnd w:id="86"/>
    <w:bookmarkEnd w:id="87"/>
    <w:bookmarkStart w:id="88" w:name="análisis-ccf02-inversión-ti"/>
    <w:p>
      <w:pPr>
        <w:pStyle w:val="Ttulo2"/>
      </w:pPr>
      <w:r>
        <w:t xml:space="preserve">Análisis CCF02 Inversión TI</w:t>
      </w:r>
    </w:p>
    <w:p>
      <w:pPr>
        <w:pStyle w:val="FirstParagraph"/>
      </w:pPr>
      <w:r>
        <w:rPr>
          <w:bCs/>
          <w:b/>
        </w:rPr>
        <w:t xml:space="preserve">Notas</w:t>
      </w:r>
      <w:r>
        <w:t xml:space="preserve">: Procedimiento evaluación de inversión, Cálculo eficacia de inversión, Confiabilidad de las entregas de proveedores, Responsables gestión de la inversión.</w:t>
      </w:r>
    </w:p>
    <w:p>
      <w:r>
        <w:pict>
          <v:rect style="width:0;height:1.5pt" o:hralign="center" o:hrstd="t" o:hr="t"/>
        </w:pict>
      </w:r>
    </w:p>
    <w:bookmarkEnd w:id="88"/>
    <w:bookmarkEnd w:id="89"/>
    <w:bookmarkStart w:id="107" w:name="anexos-del-producto-1-pr01"/>
    <w:p>
      <w:pPr>
        <w:pStyle w:val="Ttulo1"/>
      </w:pPr>
      <w:r>
        <w:t xml:space="preserve">Anexos del Producto 1 (PR01)</w:t>
      </w:r>
    </w:p>
    <w:bookmarkStart w:id="92" w:name="vista-de-segmento-del-proyecto"/>
    <w:p>
      <w:pPr>
        <w:pStyle w:val="Ttulo2"/>
      </w:pPr>
      <w:r>
        <w:t xml:space="preserve">1. Vista de Segmento del Proyecto</w:t>
      </w:r>
    </w:p>
    <w:p>
      <w:pPr>
        <w:pStyle w:val="Figure"/>
      </w:pPr>
      <w:r>
        <w:drawing>
          <wp:inline>
            <wp:extent cx="5600700" cy="6506407"/>
            <wp:effectExtent b="0" l="0" r="0" t="0"/>
            <wp:docPr descr="" title="" id="90" name="Picture"/>
            <a:graphic>
              <a:graphicData uri="http://schemas.openxmlformats.org/drawingml/2006/picture">
                <pic:pic>
                  <pic:nvPicPr>
                    <pic:cNvPr descr="images/segmentoFNAfaseII.jpg" id="91" name="Picture"/>
                    <pic:cNvPicPr>
                      <a:picLocks noChangeArrowheads="1" noChangeAspect="1"/>
                    </pic:cNvPicPr>
                  </pic:nvPicPr>
                  <pic:blipFill>
                    <a:blip r:embed="rId37"/>
                    <a:stretch>
                      <a:fillRect/>
                    </a:stretch>
                  </pic:blipFill>
                  <pic:spPr bwMode="auto">
                    <a:xfrm>
                      <a:off x="0" y="0"/>
                      <a:ext cx="5600700" cy="6506407"/>
                    </a:xfrm>
                    <a:prstGeom prst="rect">
                      <a:avLst/>
                    </a:prstGeom>
                    <a:noFill/>
                    <a:ln w="9525">
                      <a:noFill/>
                      <a:headEnd/>
                      <a:tailEnd/>
                    </a:ln>
                  </pic:spPr>
                </pic:pic>
              </a:graphicData>
            </a:graphic>
          </wp:inline>
        </w:drawing>
      </w:r>
    </w:p>
    <w:p>
      <w:pPr>
        <w:pStyle w:val="FirstParagraph"/>
      </w:pPr>
      <w:hyperlink r:id="rId73">
        <w:r>
          <w:rPr>
            <w:rStyle w:val="Hipervnculo"/>
          </w:rPr>
          <w:t xml:space="preserve">Imagen 1.</w:t>
        </w:r>
      </w:hyperlink>
      <w:r>
        <w:t xml:space="preserve"> </w:t>
      </w:r>
      <w:r>
        <w:t xml:space="preserve">Los ítems de la arquitectura del FNA objeto del trabajo de la Fase II de E-Service, 2023.</w:t>
      </w:r>
    </w:p>
    <w:p>
      <w:pPr>
        <w:pStyle w:val="Textoindependiente"/>
      </w:pPr>
      <w:r>
        <w:rPr>
          <w:iCs/>
          <w:i/>
        </w:rPr>
        <w:t xml:space="preserve">Fuente: Diagnóstico SOA. E-Service (2022)</w:t>
      </w:r>
    </w:p>
    <w:p>
      <w:pPr>
        <w:pStyle w:val="Textoindependiente"/>
      </w:pPr>
    </w:p>
    <w:bookmarkEnd w:id="92"/>
    <w:bookmarkStart w:id="93" w:name="X8eadbdaa3874e1119fd9d7aa58b68aad5402bf4"/>
    <w:p>
      <w:pPr>
        <w:pStyle w:val="Ttulo2"/>
      </w:pPr>
      <w:r>
        <w:t xml:space="preserve">2. Servicios SOA del FNA Vista de Segmento del Proyecto</w:t>
      </w:r>
    </w:p>
    <w:p>
      <w:pPr>
        <w:pStyle w:val="FirstParagraph"/>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611"/>
        <w:gridCol w:w="3033"/>
        <w:gridCol w:w="2274"/>
      </w:tblGrid>
      <w:tr>
        <w:trPr>
          <w:tblHeader w:val="true"/>
        </w:trPr>
        <w:tc>
          <w:tcPr/>
          <w:p>
            <w:pPr>
              <w:pStyle w:val="Compact"/>
              <w:jc w:val="left"/>
            </w:pPr>
            <w:r>
              <w:rPr>
                <w:bCs/>
                <w:b/>
              </w:rPr>
              <w:t xml:space="preserve">Capacidades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Diagnóstico SOA. E-Service (2022)</w:t>
      </w:r>
    </w:p>
    <w:p>
      <w:pPr>
        <w:pStyle w:val="Textoindependiente"/>
      </w:pPr>
    </w:p>
    <w:bookmarkEnd w:id="93"/>
    <w:bookmarkStart w:id="94" w:name="Xaf64b88f81e3879c94b5289fe3d0200b0a2b729"/>
    <w:p>
      <w:pPr>
        <w:pStyle w:val="Ttulo2"/>
      </w:pPr>
      <w:r>
        <w:t xml:space="preserve">3. Lista de Fases y Entregables del Proyecgto 1 (PRY01), Gobierno SOA</w:t>
      </w:r>
    </w:p>
    <w:tbl>
      <w:tblPr>
        <w:tblStyle w:val="Table"/>
        <w:tblW w:type="pct" w:w="5000"/>
        <w:tblLook w:firstRow="1" w:lastRow="0" w:firstColumn="0" w:lastColumn="0" w:noHBand="0" w:noVBand="0" w:val="0020"/>
      </w:tblPr>
      <w:tblGrid>
        <w:gridCol w:w="660"/>
        <w:gridCol w:w="7260"/>
      </w:tblGrid>
      <w:tr>
        <w:trPr>
          <w:tblHeader w:val="true"/>
        </w:trPr>
        <w:tc>
          <w:tcPr/>
          <w:p>
            <w:pPr>
              <w:pStyle w:val="Compact"/>
            </w:pPr>
          </w:p>
        </w:tc>
        <w:tc>
          <w:tcPr/>
          <w:p>
            <w:pPr>
              <w:pStyle w:val="Compact"/>
              <w:jc w:val="left"/>
            </w:pPr>
            <w:r>
              <w:t xml:space="preserve">PRY01. Gobierno SOA</w:t>
            </w:r>
          </w:p>
        </w:tc>
      </w:tr>
      <w:tr>
        <w:tc>
          <w:tcPr/>
          <w:p>
            <w:pPr>
              <w:pStyle w:val="Compact"/>
              <w:jc w:val="left"/>
            </w:pPr>
            <w:r>
              <w:t xml:space="preserve">Fase 0</w:t>
            </w:r>
          </w:p>
        </w:tc>
        <w:tc>
          <w:tcPr/>
          <w:p>
            <w:pPr>
              <w:pStyle w:val="Compact"/>
              <w:jc w:val="left"/>
            </w:pPr>
            <w:r>
              <w:t xml:space="preserve">PR01. Detalle de los ítems de arquitectura impactados por el proyecto</w:t>
            </w:r>
          </w:p>
        </w:tc>
      </w:tr>
      <w:tr>
        <w:tc>
          <w:tcPr/>
          <w:p>
            <w:pPr>
              <w:pStyle w:val="Compact"/>
            </w:pPr>
          </w:p>
        </w:tc>
        <w:tc>
          <w:tcPr/>
          <w:p>
            <w:pPr>
              <w:pStyle w:val="Compact"/>
              <w:jc w:val="left"/>
            </w:pPr>
            <w:r>
              <w:t xml:space="preserve">PR01.1. Aprobación de inicio y personal FNA asignado Gobierno SOA</w:t>
            </w:r>
          </w:p>
        </w:tc>
      </w:tr>
      <w:tr>
        <w:tc>
          <w:tcPr/>
          <w:p>
            <w:pPr>
              <w:pStyle w:val="Compact"/>
              <w:jc w:val="left"/>
            </w:pPr>
            <w:r>
              <w:t xml:space="preserve">Fase 1</w:t>
            </w:r>
          </w:p>
        </w:tc>
        <w:tc>
          <w:tcPr/>
          <w:p>
            <w:pPr>
              <w:pStyle w:val="Compact"/>
              <w:jc w:val="left"/>
            </w:pPr>
            <w:r>
              <w:t xml:space="preserve">PR02. Detalle de los recursos, herramientas, roles y participantes del gobierno SOA</w:t>
            </w:r>
          </w:p>
        </w:tc>
      </w:tr>
      <w:tr>
        <w:tc>
          <w:tcPr/>
          <w:p>
            <w:pPr>
              <w:pStyle w:val="Compact"/>
            </w:pPr>
          </w:p>
        </w:tc>
        <w:tc>
          <w:tcPr/>
          <w:p>
            <w:pPr>
              <w:pStyle w:val="Compact"/>
              <w:jc w:val="left"/>
            </w:pPr>
            <w:r>
              <w:t xml:space="preserve">PR03. Diseño de los procesos y responsabilidades del comité de gobierno</w:t>
            </w:r>
          </w:p>
        </w:tc>
      </w:tr>
      <w:tr>
        <w:tc>
          <w:tcPr/>
          <w:p>
            <w:pPr>
              <w:pStyle w:val="Compact"/>
              <w:jc w:val="left"/>
            </w:pPr>
            <w:r>
              <w:t xml:space="preserve">Fase 2</w:t>
            </w:r>
          </w:p>
        </w:tc>
        <w:tc>
          <w:tcPr/>
          <w:p>
            <w:pPr>
              <w:pStyle w:val="Compact"/>
              <w:jc w:val="left"/>
            </w:pPr>
            <w:r>
              <w:t xml:space="preserve">PR04. Definición de roles y responsabilidades y selección e instalación del comité</w:t>
            </w:r>
          </w:p>
        </w:tc>
      </w:tr>
      <w:tr>
        <w:tc>
          <w:tcPr/>
          <w:p>
            <w:pPr>
              <w:pStyle w:val="Compact"/>
            </w:pPr>
          </w:p>
        </w:tc>
        <w:tc>
          <w:tcPr/>
          <w:p>
            <w:pPr>
              <w:pStyle w:val="Compact"/>
              <w:jc w:val="left"/>
            </w:pPr>
            <w:r>
              <w:t xml:space="preserve">PR05. Procesos de mejoramiento de diseño y vigilancia de riesgos técnicos</w:t>
            </w:r>
          </w:p>
        </w:tc>
      </w:tr>
      <w:tr>
        <w:tc>
          <w:tcPr/>
          <w:p>
            <w:pPr>
              <w:pStyle w:val="Compact"/>
              <w:jc w:val="left"/>
            </w:pPr>
            <w:r>
              <w:t xml:space="preserve">Fase 3</w:t>
            </w:r>
          </w:p>
        </w:tc>
        <w:tc>
          <w:tcPr/>
          <w:p>
            <w:pPr>
              <w:pStyle w:val="Compact"/>
              <w:jc w:val="left"/>
            </w:pPr>
            <w:r>
              <w:t xml:space="preserve">PR06. Modelos actualizados de los ítems de arquitectura impactados por el proyecto</w:t>
            </w:r>
          </w:p>
        </w:tc>
      </w:tr>
      <w:tr>
        <w:tc>
          <w:tcPr/>
          <w:p>
            <w:pPr>
              <w:pStyle w:val="Compact"/>
              <w:jc w:val="left"/>
            </w:pPr>
            <w:r>
              <w:t xml:space="preserve">Fase 4</w:t>
            </w:r>
          </w:p>
        </w:tc>
        <w:tc>
          <w:tcPr/>
          <w:p>
            <w:pPr>
              <w:pStyle w:val="Compact"/>
              <w:jc w:val="left"/>
            </w:pPr>
            <w:r>
              <w:t xml:space="preserve">PR07. Métricas de efectividad del gobierno</w:t>
            </w:r>
          </w:p>
        </w:tc>
      </w:tr>
      <w:tr>
        <w:tc>
          <w:tcPr/>
          <w:p>
            <w:pPr>
              <w:pStyle w:val="Compact"/>
              <w:jc w:val="left"/>
            </w:pPr>
            <w:r>
              <w:t xml:space="preserve">A</w:t>
            </w:r>
          </w:p>
        </w:tc>
        <w:tc>
          <w:tcPr/>
          <w:p>
            <w:pPr>
              <w:pStyle w:val="Compact"/>
              <w:jc w:val="left"/>
            </w:pPr>
            <w:r>
              <w:t xml:space="preserve">Generar lineamientos y políticas de gobierno SOA</w:t>
            </w:r>
          </w:p>
        </w:tc>
      </w:tr>
      <w:tr>
        <w:tc>
          <w:tcPr/>
          <w:p>
            <w:pPr>
              <w:pStyle w:val="Compact"/>
            </w:pPr>
          </w:p>
        </w:tc>
        <w:tc>
          <w:tcPr/>
          <w:p>
            <w:pPr>
              <w:pStyle w:val="Compact"/>
              <w:jc w:val="left"/>
            </w:pPr>
            <w:r>
              <w:t xml:space="preserve">Aplicar y fortalecer gobierno SOA en el FNA</w:t>
            </w:r>
          </w:p>
        </w:tc>
      </w:tr>
      <w:tr>
        <w:tc>
          <w:tcPr/>
          <w:p>
            <w:pPr>
              <w:pStyle w:val="Compact"/>
            </w:pPr>
          </w:p>
        </w:tc>
        <w:tc>
          <w:tcPr/>
          <w:p>
            <w:pPr>
              <w:pStyle w:val="Compact"/>
              <w:jc w:val="left"/>
            </w:pPr>
            <w:r>
              <w:t xml:space="preserve">Medir las decisiones de arquitectura y del proceso de desarrollo de las soluciones SOA</w:t>
            </w:r>
          </w:p>
        </w:tc>
      </w:tr>
    </w:tbl>
    <w:p>
      <w:pPr>
        <w:pStyle w:val="Textoindependiente"/>
      </w:pPr>
    </w:p>
    <w:p>
      <w:r>
        <w:pict>
          <v:rect style="width:0;height:1.5pt" o:hralign="center" o:hrstd="t" o:hr="t"/>
        </w:pict>
      </w:r>
    </w:p>
    <w:bookmarkEnd w:id="94"/>
    <w:bookmarkStart w:id="102" w:name="herramienta-ccf"/>
    <w:p>
      <w:pPr>
        <w:pStyle w:val="Ttulo2"/>
      </w:pPr>
      <w:r>
        <w:t xml:space="preserve">4. Herramienta CCF</w:t>
      </w:r>
    </w:p>
    <w:p>
      <w:pPr>
        <w:pStyle w:val="FirstParagraph"/>
      </w:pPr>
      <w:r>
        <w:t xml:space="preserve">Herramienta para la creación de un flujo crítico de trabajo. Estos flujos son usados para el procedo de diseño de gobierno SOA del FNA.</w:t>
      </w:r>
    </w:p>
    <w:tbl>
      <w:tblPr>
        <w:tblStyle w:val="Table"/>
        <w:tblW w:type="pct" w:w="5000"/>
        <w:tblLook w:firstRow="1" w:lastRow="0" w:firstColumn="0" w:lastColumn="0" w:noHBand="0" w:noVBand="0" w:val="0020"/>
      </w:tblPr>
      <w:tblGrid>
        <w:gridCol w:w="6336"/>
        <w:gridCol w:w="1584"/>
      </w:tblGrid>
      <w:tr>
        <w:trPr>
          <w:tblHeader w:val="true"/>
        </w:trPr>
        <w:tc>
          <w:tcPr/>
          <w:p>
            <w:pPr>
              <w:pStyle w:val="Compact"/>
              <w:jc w:val="left"/>
            </w:pPr>
            <w:r>
              <w:t xml:space="preserve">CCF</w:t>
            </w:r>
          </w:p>
        </w:tc>
        <w:tc>
          <w:tcPr/>
          <w:p>
            <w:pPr>
              <w:pStyle w:val="Compact"/>
            </w:pPr>
          </w:p>
        </w:tc>
      </w:tr>
      <w:tr>
        <w:tc>
          <w:tcPr/>
          <w:p>
            <w:pPr>
              <w:pStyle w:val="Compact"/>
              <w:jc w:val="left"/>
            </w:pPr>
            <w:r>
              <w:t xml:space="preserve">Cliente destino:</w:t>
            </w:r>
          </w:p>
        </w:tc>
        <w:tc>
          <w:tcPr/>
          <w:p>
            <w:pPr>
              <w:pStyle w:val="Compact"/>
              <w:jc w:val="left"/>
            </w:pPr>
            <w:r>
              <w:rPr>
                <w:iCs/>
                <w:i/>
              </w:rPr>
              <w:t xml:space="preserve">Guía: escoger únicamente un cliente objetivo a quien se va a solucionar el problema de gobierno</w:t>
            </w:r>
          </w:p>
        </w:tc>
      </w:tr>
      <w:tr>
        <w:tc>
          <w:tcPr/>
          <w:p>
            <w:pPr>
              <w:pStyle w:val="Compact"/>
              <w:jc w:val="left"/>
            </w:pPr>
            <w:r>
              <w:t xml:space="preserve">Producto/Servicio:</w:t>
            </w:r>
          </w:p>
        </w:tc>
        <w:tc>
          <w:tcPr/>
          <w:p>
            <w:pPr>
              <w:pStyle w:val="Compact"/>
              <w:jc w:val="left"/>
            </w:pPr>
            <w:r>
              <w:rPr>
                <w:iCs/>
                <w:i/>
              </w:rPr>
              <w:t xml:space="preserve">Guía: escoger únicamente un producto o servicio del cliente a quien se va a solucionar el problema</w:t>
            </w:r>
          </w:p>
        </w:tc>
      </w:tr>
    </w:tbl>
    <w:bookmarkStart w:id="95" w:name="atención-2"/>
    <w:p>
      <w:pPr>
        <w:pStyle w:val="Ttulo3"/>
      </w:pPr>
      <w:r>
        <w:t xml:space="preserve">Atención</w:t>
      </w:r>
    </w:p>
    <w:p>
      <w:pPr>
        <w:pStyle w:val="FirstParagraph"/>
      </w:pPr>
      <w:r>
        <w:rPr>
          <w:iCs/>
          <w:i/>
        </w:rPr>
        <w:t xml:space="preserve">Guía: por dónde llega o inicia el flujo. Ejemplo: puede ser un departamento, persona, sistema público o canal por donde llega la petición de inicio del flujo.</w:t>
      </w:r>
    </w:p>
    <w:bookmarkEnd w:id="95"/>
    <w:bookmarkStart w:id="96" w:name="petición-2"/>
    <w:p>
      <w:pPr>
        <w:pStyle w:val="Ttulo3"/>
      </w:pPr>
      <w:r>
        <w:t xml:space="preserve">Petición</w:t>
      </w:r>
    </w:p>
    <w:p>
      <w:pPr>
        <w:pStyle w:val="FirstParagraph"/>
      </w:pPr>
      <w:r>
        <w:rPr>
          <w:iCs/>
          <w:i/>
        </w:rPr>
        <w:t xml:space="preserve">Guía: En qué medio, dispositivo, o soporte queda almacenada la petición (correo, documento, forma, web, sistema, etc); cuál es y de qué tipo es la petición que ejecuta este flujo.</w:t>
      </w:r>
    </w:p>
    <w:bookmarkEnd w:id="96"/>
    <w:bookmarkStart w:id="97" w:name="arquitectura-2"/>
    <w:p>
      <w:pPr>
        <w:pStyle w:val="Ttulo3"/>
      </w:pPr>
      <w:r>
        <w:t xml:space="preserve">Arquitectura</w:t>
      </w:r>
    </w:p>
    <w:p>
      <w:pPr>
        <w:pStyle w:val="FirstParagraph"/>
      </w:pPr>
      <w:r>
        <w:rPr>
          <w:iCs/>
          <w:i/>
        </w:rPr>
        <w:t xml:space="preserve">Guía: ¿qué pasa después de que el arquitecto, ingeniero, o receptor recibe la petición. Si distribuye, o hace una propuesta, análisis, reunión, etc.</w:t>
      </w:r>
    </w:p>
    <w:p>
      <w:pPr>
        <w:numPr>
          <w:ilvl w:val="0"/>
          <w:numId w:val="1011"/>
        </w:numPr>
        <w:pStyle w:val="Compact"/>
      </w:pPr>
      <w:r>
        <w:t xml:space="preserve">paso 1</w:t>
      </w:r>
    </w:p>
    <w:p>
      <w:pPr>
        <w:numPr>
          <w:ilvl w:val="0"/>
          <w:numId w:val="1011"/>
        </w:numPr>
        <w:pStyle w:val="Compact"/>
      </w:pPr>
      <w:r>
        <w:t xml:space="preserve">paso 2</w:t>
      </w:r>
    </w:p>
    <w:bookmarkEnd w:id="97"/>
    <w:bookmarkStart w:id="98" w:name="valor-2"/>
    <w:p>
      <w:pPr>
        <w:pStyle w:val="Ttulo3"/>
      </w:pPr>
      <w:r>
        <w:t xml:space="preserve">Valor</w:t>
      </w:r>
    </w:p>
    <w:p>
      <w:pPr>
        <w:pStyle w:val="FirstParagraph"/>
      </w:pPr>
      <w:r>
        <w:rPr>
          <w:iCs/>
          <w:i/>
        </w:rPr>
        <w:t xml:space="preserve">Guía: cuál es el valor que este flujo genera para el FNA.</w:t>
      </w:r>
    </w:p>
    <w:bookmarkEnd w:id="98"/>
    <w:bookmarkStart w:id="99" w:name="seguimiento-2"/>
    <w:p>
      <w:pPr>
        <w:pStyle w:val="Ttulo3"/>
      </w:pPr>
      <w:r>
        <w:t xml:space="preserve">Seguimiento</w:t>
      </w:r>
    </w:p>
    <w:p>
      <w:pPr>
        <w:pStyle w:val="FirstParagraph"/>
      </w:pPr>
      <w:r>
        <w:rPr>
          <w:iCs/>
          <w:i/>
        </w:rPr>
        <w:t xml:space="preserve">Guía: cómo se valida que la ejecución o valor gnerado se haya llevado a cabo en dichos términos.</w:t>
      </w:r>
    </w:p>
    <w:bookmarkEnd w:id="99"/>
    <w:bookmarkStart w:id="100" w:name="entrega-2"/>
    <w:p>
      <w:pPr>
        <w:pStyle w:val="Ttulo3"/>
      </w:pPr>
      <w:r>
        <w:t xml:space="preserve">Entrega</w:t>
      </w:r>
    </w:p>
    <w:p>
      <w:pPr>
        <w:pStyle w:val="FirstParagraph"/>
      </w:pPr>
      <w:r>
        <w:rPr>
          <w:iCs/>
          <w:i/>
        </w:rPr>
        <w:t xml:space="preserve">Guía: cómo se da por entregado el resultado del trabajo al cliente objetivo que inició el flujo.</w:t>
      </w:r>
    </w:p>
    <w:bookmarkEnd w:id="100"/>
    <w:bookmarkStart w:id="101" w:name="repetición-2"/>
    <w:p>
      <w:pPr>
        <w:pStyle w:val="Ttulo3"/>
      </w:pPr>
      <w:r>
        <w:t xml:space="preserve">Repetición</w:t>
      </w:r>
    </w:p>
    <w:p>
      <w:pPr>
        <w:pStyle w:val="FirstParagraph"/>
      </w:pPr>
      <w:r>
        <w:rPr>
          <w:iCs/>
          <w:i/>
        </w:rPr>
        <w:t xml:space="preserve">Guía: qué es necesario realizar al flujo para que asegurar que el cliente objetivo quiera ejecutarlo nuevamente.</w:t>
      </w:r>
    </w:p>
    <w:p>
      <w:pPr>
        <w:pStyle w:val="Textoindependiente"/>
      </w:pPr>
    </w:p>
    <w:p>
      <w:r>
        <w:pict>
          <v:rect style="width:0;height:1.5pt" o:hralign="center" o:hrstd="t" o:hr="t"/>
        </w:pict>
      </w:r>
    </w:p>
    <w:bookmarkEnd w:id="101"/>
    <w:bookmarkEnd w:id="102"/>
    <w:bookmarkStart w:id="106" w:name="referencias"/>
    <w:p>
      <w:pPr>
        <w:pStyle w:val="Ttulo2"/>
      </w:pPr>
      <w:r>
        <w:t xml:space="preserve">Referencias</w:t>
      </w:r>
    </w:p>
    <w:bookmarkStart w:id="103" w:name="refs"/>
    <w:p>
      <w:pPr>
        <w:pStyle w:val="Bibliography"/>
      </w:pPr>
      <w:r>
        <w:t xml:space="preserve">E-Service. Situación SOA Actual del FNA. Etapa I. (2022).</w:t>
      </w:r>
    </w:p>
    <w:bookmarkEnd w:id="103"/>
    <w:bookmarkStart w:id="104" w:name="refs"/>
    <w:p>
      <w:pPr>
        <w:pStyle w:val="Bibliography"/>
      </w:pPr>
      <w:r>
        <w:t xml:space="preserve">E-Service. Arquitectura de Referencia del FNA. Etapa II. (2023).</w:t>
      </w:r>
    </w:p>
    <w:bookmarkEnd w:id="104"/>
    <w:bookmarkStart w:id="105" w:name="refs"/>
    <w:p>
      <w:pPr>
        <w:pStyle w:val="Bibliography"/>
      </w:pPr>
      <w:r>
        <w:t xml:space="preserve">E-Service. Hoja de Ruta e Iniciativas. Fase III. (2023).</w:t>
      </w:r>
    </w:p>
    <w:bookmarkEnd w:id="105"/>
    <w:bookmarkEnd w:id="106"/>
    <w:bookmarkEnd w:id="10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8">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0" Target="media/rId70.jp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37" Target="media/rId37.jpg" /><Relationship Type="http://schemas.openxmlformats.org/officeDocument/2006/relationships/image" Id="rId56" Target="media/rId56.jpg" /><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bf714638e45721dc5e36f9f37c937a40b2909c6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73" Target="" TargetMode="External" /><Relationship Type="http://schemas.openxmlformats.org/officeDocument/2006/relationships/hyperlink" Id="rId29" Target="N03a%a20Vsta%20aSegenta%20SOA%20FNA.md" TargetMode="External" /><Relationship Type="http://schemas.openxmlformats.org/officeDocument/2006/relationships/hyperlink" Id="rId41" Target="URL.com"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20" Target="https://hwong23.github.io/fna-dd-f2-pry1/v/bf714638e45721dc5e36f9f37c937a40b2909c62/"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33" Target="onenote:#N001d.sharepoint.com" TargetMode="External" /><Relationship Type="http://schemas.openxmlformats.org/officeDocument/2006/relationships/hyperlink" Id="rId34"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Vista de Contexto</dc:title>
  <dc:creator/>
  <dc:language>en-US</dc:language>
  <cp:keywords>SOA, madurez, gobierno, FNA</cp:keywords>
  <dcterms:created xsi:type="dcterms:W3CDTF">2023-06-05T17:57:49Z</dcterms:created>
  <dcterms:modified xsi:type="dcterms:W3CDTF">2023-06-05T17:57:49Z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2023-06-05</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ies>
</file>