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hwong23/fna-dd-f2-pry1@c39533e</w:t>
        </w:r>
      </w:hyperlink>
      <w:r>
        <w:t xml:space="preserve"> </w:t>
      </w:r>
      <w:r>
        <w:t xml:space="preserve">del June 2, 2023.</w:t>
      </w:r>
      <w:r>
        <w:t xml:space="preserve"> </w:t>
      </w:r>
    </w:p>
    <w:p>
      <w:pPr>
        <w:pStyle w:val="Textoindependiente"/>
      </w:pPr>
      <w:r>
        <w:t xml:space="preserve">   </w:t>
      </w:r>
      <w:r>
        <w:rPr>
          <w:bCs/>
          <w:b/>
        </w:rPr>
        <w:t xml:space="preserve">Version</w:t>
      </w:r>
      <w:r>
        <w:t xml:space="preserve"> </w:t>
      </w:r>
      <w:r>
        <w:t xml:space="preserve">del producto c39533e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c39533e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 PRY01 Gobierno SOA. Contenido de los Productos Contractuales. Contrato 1812020</w:t>
      </w:r>
      <w:r>
        <w:t xml:space="preserve"> </w:t>
      </w:r>
      <w:r>
        <w:t xml:space="preserve">FNA, Stefanini</w:t>
      </w:r>
    </w:p>
    <w:p>
      <w:pPr>
        <w:pStyle w:val="Textodebloque"/>
      </w:pPr>
      <w:r>
        <w:rPr>
          <w:bCs/>
          <w:b/>
        </w:rPr>
        <w:t xml:space="preserve">Version</w:t>
      </w:r>
      <w:r>
        <w:t xml:space="preserve"> </w:t>
      </w:r>
      <w:r>
        <w:t xml:space="preserve">c39533e del 02 Jun 2023</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c39533e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4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r>
        <w:pict>
          <v:rect style="width:0;height:1.5pt" o:hralign="center" o:hrstd="t" o:hr="t"/>
        </w:pict>
      </w:r>
    </w:p>
    <w:bookmarkEnd w:id="46"/>
    <w:bookmarkEnd w:id="47"/>
    <w:bookmarkEnd w:id="48"/>
    <w:bookmarkStart w:id="54" w:name="anexos-del-producto-1-pr01"/>
    <w:p>
      <w:pPr>
        <w:pStyle w:val="Ttulo1"/>
      </w:pPr>
      <w:r>
        <w:t xml:space="preserve">Anexos del Producto 1 (PR01)</w:t>
      </w:r>
    </w:p>
    <w:bookmarkStart w:id="51" w:name="vista-de-segmento-del-proyecto"/>
    <w:p>
      <w:pPr>
        <w:pStyle w:val="Ttulo2"/>
      </w:pPr>
      <w:r>
        <w:t xml:space="preserve">1. Vista de Segmento del Proyecto</w:t>
      </w:r>
    </w:p>
    <w:p>
      <w:pPr>
        <w:pStyle w:val="Figure"/>
      </w:pPr>
      <w:r>
        <w:drawing>
          <wp:inline>
            <wp:extent cx="5600700" cy="6506407"/>
            <wp:effectExtent b="0" l="0" r="0" t="0"/>
            <wp:docPr descr="" title="" id="49" name="Picture"/>
            <a:graphic>
              <a:graphicData uri="http://schemas.openxmlformats.org/drawingml/2006/picture">
                <pic:pic>
                  <pic:nvPicPr>
                    <pic:cNvPr descr="images/segmentoFNAfaseII.jpg" id="50"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1"/>
    <w:bookmarkStart w:id="52"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2"/>
    <w:bookmarkStart w:id="53"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826"/>
        <w:gridCol w:w="6060"/>
        <w:gridCol w:w="1033"/>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3"/>
    <w:bookmarkEnd w:id="54"/>
    <w:bookmarkStart w:id="55" w:name="e-service.-fase-ii.-pry01-gobierno-soa"/>
    <w:p>
      <w:pPr>
        <w:pStyle w:val="Ttulo1"/>
      </w:pPr>
      <w:r>
        <w:t xml:space="preserve">E-Service. Fase II. PRY01 Gobierno SOA</w:t>
      </w:r>
    </w:p>
    <w:bookmarkEnd w:id="55"/>
    <w:bookmarkStart w:id="56" w:name="Xe92f3a0c872b25ee85757beaa64c98c44252204"/>
    <w:p>
      <w:pPr>
        <w:pStyle w:val="Ttulo1"/>
      </w:pPr>
      <w:r>
        <w:t xml:space="preserve">Contenido de los Productos Contractuales, (#contrato 181-2020)</w:t>
      </w:r>
    </w:p>
    <w:bookmarkEnd w:id="56"/>
    <w:bookmarkStart w:id="60"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7"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7"/>
    <w:bookmarkStart w:id="58"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8"/>
    <w:bookmarkStart w:id="59"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9"/>
    <w:bookmarkEnd w:id="60"/>
    <w:bookmarkStart w:id="83"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1"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1"/>
    <w:bookmarkStart w:id="65"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2" w:name="flujos-críticos-de-trabajo"/>
    <w:p>
      <w:pPr>
        <w:pStyle w:val="Ttulo3"/>
      </w:pPr>
      <w:r>
        <w:t xml:space="preserve">Flujos Críticos de Trabajo</w:t>
      </w:r>
    </w:p>
    <w:bookmarkEnd w:id="62"/>
    <w:bookmarkStart w:id="63" w:name="gestión-del-riesgo-técnico"/>
    <w:p>
      <w:pPr>
        <w:pStyle w:val="Ttulo3"/>
      </w:pPr>
      <w:r>
        <w:t xml:space="preserve">Gestión del Riesgo Técnico</w:t>
      </w:r>
    </w:p>
    <w:bookmarkEnd w:id="63"/>
    <w:bookmarkStart w:id="64"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4"/>
    <w:bookmarkEnd w:id="65"/>
    <w:bookmarkStart w:id="73"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6"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6"/>
    <w:bookmarkStart w:id="67"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7"/>
    <w:bookmarkStart w:id="68"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8"/>
    <w:bookmarkStart w:id="69" w:name="valor"/>
    <w:p>
      <w:pPr>
        <w:pStyle w:val="Ttulo3"/>
      </w:pPr>
      <w:r>
        <w:t xml:space="preserve">Valor</w:t>
      </w:r>
    </w:p>
    <w:p>
      <w:pPr>
        <w:pStyle w:val="FirstParagraph"/>
      </w:pPr>
      <w:r>
        <w:rPr>
          <w:iCs/>
          <w:i/>
        </w:rPr>
        <w:t xml:space="preserve">Guía: cuál es el valor que este flujo genera para el FNA.</w:t>
      </w:r>
    </w:p>
    <w:bookmarkEnd w:id="69"/>
    <w:bookmarkStart w:id="70"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0"/>
    <w:bookmarkStart w:id="71"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1"/>
    <w:bookmarkStart w:id="72"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2"/>
    <w:bookmarkEnd w:id="73"/>
    <w:bookmarkStart w:id="80"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74"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74"/>
    <w:bookmarkStart w:id="75"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75"/>
    <w:bookmarkStart w:id="76" w:name="valor-1"/>
    <w:p>
      <w:pPr>
        <w:pStyle w:val="Ttulo3"/>
      </w:pPr>
      <w:r>
        <w:t xml:space="preserve">Valor</w:t>
      </w:r>
    </w:p>
    <w:p>
      <w:pPr>
        <w:pStyle w:val="FirstParagraph"/>
      </w:pPr>
      <w:r>
        <w:t xml:space="preserve">El valor es alto, debido a que afecta al Consumidor financiero en el retiro de las cesantias</w:t>
      </w:r>
    </w:p>
    <w:bookmarkEnd w:id="76"/>
    <w:bookmarkStart w:id="77" w:name="seguimiento-1"/>
    <w:p>
      <w:pPr>
        <w:pStyle w:val="Ttulo3"/>
      </w:pPr>
      <w:r>
        <w:t xml:space="preserve">Seguimiento</w:t>
      </w:r>
    </w:p>
    <w:p>
      <w:pPr>
        <w:pStyle w:val="FirstParagraph"/>
      </w:pPr>
      <w:r>
        <w:t xml:space="preserve">El seguimiento se realiza diariamente con la conciliacion aplicada por el area usuaria</w:t>
      </w:r>
    </w:p>
    <w:bookmarkEnd w:id="77"/>
    <w:bookmarkStart w:id="78"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78"/>
    <w:bookmarkStart w:id="79" w:name="repetición-1"/>
    <w:p>
      <w:pPr>
        <w:pStyle w:val="Ttulo3"/>
      </w:pPr>
      <w:r>
        <w:t xml:space="preserve">Repetición</w:t>
      </w:r>
    </w:p>
    <w:p>
      <w:pPr>
        <w:pStyle w:val="FirstParagraph"/>
      </w:pPr>
      <w:r>
        <w:t xml:space="preserve">_Guía: Implementar un buen diseño en la aplicacion y malla de calidad en la pruebas</w:t>
      </w:r>
    </w:p>
    <w:bookmarkEnd w:id="79"/>
    <w:bookmarkEnd w:id="80"/>
    <w:bookmarkStart w:id="82" w:name="referencias"/>
    <w:p>
      <w:pPr>
        <w:pStyle w:val="Ttulo2"/>
      </w:pPr>
      <w:r>
        <w:t xml:space="preserve">Referencias</w:t>
      </w:r>
    </w:p>
    <w:bookmarkStart w:id="81" w:name="refs"/>
    <w:bookmarkEnd w:id="81"/>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c39533eaad847b5beba168c461a097cf659e4853"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c39533eaad847b5beba168c461a097cf659e4853/"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c39533eaad847b5beba168c461a097cf659e4853"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c39533eaad847b5beba168c461a097cf659e4853/"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2023-06-02T04:05:37Z</dcterms:created>
  <dcterms:modified xsi:type="dcterms:W3CDTF">2023-06-02T04:05:37Z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