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3.png" ContentType="image/png"/>
  <Override PartName="/word/media/rId75.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STEF@ca089aa</w:t>
        </w:r>
      </w:hyperlink>
      <w:r>
        <w:t xml:space="preserve"> </w:t>
      </w:r>
      <w:r>
        <w:t xml:space="preserve">del June 6, 2023.</w:t>
      </w:r>
      <w:r>
        <w:t xml:space="preserve"> </w:t>
      </w:r>
    </w:p>
    <w:p>
      <w:pPr>
        <w:pStyle w:val="Textoindependiente"/>
      </w:pPr>
      <w:r>
        <w:t xml:space="preserve">   </w:t>
      </w:r>
      <w:r>
        <w:rPr>
          <w:bCs/>
          <w:b/>
        </w:rPr>
        <w:t xml:space="preserve">Versión</w:t>
      </w:r>
      <w:r>
        <w:t xml:space="preserve"> </w:t>
      </w:r>
      <w:r>
        <w:t xml:space="preserve">del producto 1.ca089aa del 06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06 Jun 2023</w:t>
      </w:r>
    </w:p>
    <w:p>
      <w:pPr>
        <w:pStyle w:val="Textodebloque"/>
      </w:pPr>
      <w:r>
        <w:rPr>
          <w:bCs/>
          <w:b/>
        </w:rPr>
        <w:t xml:space="preserve">Versión</w:t>
      </w:r>
      <w:r>
        <w:t xml:space="preserve"> </w:t>
      </w:r>
      <w:r>
        <w:t xml:space="preserve">1.ca089aa</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c4d75e6b-6e2f-4da6-aa51-139031702c22"/>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7c81bc2d-c29a-4799-ba63-f056a7990933"/>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1.ca089aa del 06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94"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67" w:name="análisis-de-los-flujos-de-trabajo"/>
    <w:p>
      <w:pPr>
        <w:pStyle w:val="Ttulo2"/>
      </w:pPr>
      <w:r>
        <w:t xml:space="preserve">Análisis de los Flujos de Trabajo</w:t>
      </w:r>
    </w:p>
    <w:p>
      <w:pPr>
        <w:pStyle w:val="FirstParagraph"/>
      </w:pPr>
      <w:r>
        <w:t xml:space="preserve">Los flujos serán analizados desde tres perspectivas ilustradas a continuación.</w:t>
      </w:r>
    </w:p>
    <w:bookmarkStart w:id="0" w:name="fig:f28c3f2e-6ee3-491b-b99f-1e51df81e5d1"/>
    <w:p>
      <w:pPr>
        <w:pStyle w:val="CaptionedFigure"/>
      </w:pPr>
      <w:bookmarkStart w:id="66" w:name="fig:"/>
      <w:r>
        <w:drawing>
          <wp:inline>
            <wp:extent cx="5600700" cy="2207542"/>
            <wp:effectExtent b="0" l="0" r="0" t="0"/>
            <wp:docPr descr="Imagen 4: Análisis de los flujos desde los pasos, las personas y la arquitectura FNA" title="" id="64" name="Picture"/>
            <a:graphic>
              <a:graphicData uri="http://schemas.openxmlformats.org/drawingml/2006/picture">
                <pic:pic>
                  <pic:nvPicPr>
                    <pic:cNvPr descr="images/definirgobierno.png" id="65" name="Picture"/>
                    <pic:cNvPicPr>
                      <a:picLocks noChangeArrowheads="1" noChangeAspect="1"/>
                    </pic:cNvPicPr>
                  </pic:nvPicPr>
                  <pic:blipFill>
                    <a:blip r:embed="rId63"/>
                    <a:stretch>
                      <a:fillRect/>
                    </a:stretch>
                  </pic:blipFill>
                  <pic:spPr bwMode="auto">
                    <a:xfrm>
                      <a:off x="0" y="0"/>
                      <a:ext cx="5600700" cy="2207542"/>
                    </a:xfrm>
                    <a:prstGeom prst="rect">
                      <a:avLst/>
                    </a:prstGeom>
                    <a:noFill/>
                    <a:ln w="9525">
                      <a:noFill/>
                      <a:headEnd/>
                      <a:tailEnd/>
                    </a:ln>
                  </pic:spPr>
                </pic:pic>
              </a:graphicData>
            </a:graphic>
          </wp:inline>
        </w:drawing>
      </w:r>
      <w:bookmarkEnd w:id="66"/>
    </w:p>
    <w:p>
      <w:pPr>
        <w:pStyle w:val="ImageCaption"/>
      </w:pPr>
      <w:r>
        <w:t xml:space="preserve">Imagen 4: Análisis de los flujos desde los pasos, las personas y la arquitectura FNA</w:t>
      </w:r>
    </w:p>
    <w:bookmarkEnd w:id="0"/>
    <w:p>
      <w:pPr>
        <w:pStyle w:val="Textoindependiente"/>
      </w:pPr>
      <w:r>
        <w:rPr>
          <w:iCs/>
          <w:i/>
        </w:rPr>
        <w:t xml:space="preserve">Fuente: Elaboración propia.</w:t>
      </w:r>
    </w:p>
    <w:p>
      <w:pPr>
        <w:pStyle w:val="Textoindependiente"/>
      </w:pPr>
    </w:p>
    <w:bookmarkEnd w:id="67"/>
    <w:bookmarkStart w:id="80"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8"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8"/>
    <w:bookmarkStart w:id="69"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9"/>
    <w:bookmarkStart w:id="70"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70"/>
    <w:bookmarkStart w:id="71" w:name="valor"/>
    <w:p>
      <w:pPr>
        <w:pStyle w:val="Ttulo3"/>
      </w:pPr>
      <w:r>
        <w:t xml:space="preserve">Valor</w:t>
      </w:r>
    </w:p>
    <w:p>
      <w:pPr>
        <w:pStyle w:val="FirstParagraph"/>
      </w:pPr>
      <w:r>
        <w:t xml:space="preserve">El valor es alto, debido a que afecta al consumidor financiero en el retiro de las cesantias</w:t>
      </w:r>
    </w:p>
    <w:bookmarkEnd w:id="71"/>
    <w:bookmarkStart w:id="72" w:name="seguimiento"/>
    <w:p>
      <w:pPr>
        <w:pStyle w:val="Ttulo3"/>
      </w:pPr>
      <w:r>
        <w:t xml:space="preserve">Seguimiento</w:t>
      </w:r>
    </w:p>
    <w:p>
      <w:pPr>
        <w:pStyle w:val="FirstParagraph"/>
      </w:pPr>
      <w:r>
        <w:t xml:space="preserve">El seguimiento se realiza diariamente con la conciliación aplicada por el área usuaria.</w:t>
      </w:r>
    </w:p>
    <w:bookmarkEnd w:id="72"/>
    <w:bookmarkStart w:id="73"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3"/>
    <w:bookmarkStart w:id="74" w:name="repetición"/>
    <w:p>
      <w:pPr>
        <w:pStyle w:val="Ttulo3"/>
      </w:pPr>
      <w:r>
        <w:t xml:space="preserve">Repetición</w:t>
      </w:r>
    </w:p>
    <w:p>
      <w:pPr>
        <w:pStyle w:val="FirstParagraph"/>
      </w:pPr>
      <w:r>
        <w:t xml:space="preserve">Implementar un buen diseño en la aplicacion y malla de calidad en la pruebas.</w:t>
      </w:r>
    </w:p>
    <w:bookmarkEnd w:id="74"/>
    <w:bookmarkStart w:id="79" w:name="anexo.-diagrama-del-flujo"/>
    <w:p>
      <w:pPr>
        <w:pStyle w:val="Ttulo3"/>
      </w:pPr>
      <w:r>
        <w:t xml:space="preserve">Anexo. Diagrama del flujo</w:t>
      </w:r>
    </w:p>
    <w:bookmarkStart w:id="0" w:name="fig:ebf39019-8bf2-4784-974e-e7a68d883656"/>
    <w:p>
      <w:pPr>
        <w:pStyle w:val="CaptionedFigure"/>
      </w:pPr>
      <w:bookmarkStart w:id="78" w:name="fig:"/>
      <w:r>
        <w:drawing>
          <wp:inline>
            <wp:extent cx="5600700" cy="2725436"/>
            <wp:effectExtent b="0" l="0" r="0" t="0"/>
            <wp:docPr descr="Imagen 5: Flujo de trabajo crítico, aprobación de censatía con biometría FNA, para el análisis de las fortalezas, debilidades, y otras consideraciones de gobierno SOA del FNA." title="" id="76" name="Picture"/>
            <a:graphic>
              <a:graphicData uri="http://schemas.openxmlformats.org/drawingml/2006/picture">
                <pic:pic>
                  <pic:nvPicPr>
                    <pic:cNvPr descr="images/flujoBiometriafna.jpg" id="77" name="Picture"/>
                    <pic:cNvPicPr>
                      <a:picLocks noChangeArrowheads="1" noChangeAspect="1"/>
                    </pic:cNvPicPr>
                  </pic:nvPicPr>
                  <pic:blipFill>
                    <a:blip r:embed="rId75"/>
                    <a:stretch>
                      <a:fillRect/>
                    </a:stretch>
                  </pic:blipFill>
                  <pic:spPr bwMode="auto">
                    <a:xfrm>
                      <a:off x="0" y="0"/>
                      <a:ext cx="5600700" cy="2725436"/>
                    </a:xfrm>
                    <a:prstGeom prst="rect">
                      <a:avLst/>
                    </a:prstGeom>
                    <a:noFill/>
                    <a:ln w="9525">
                      <a:noFill/>
                      <a:headEnd/>
                      <a:tailEnd/>
                    </a:ln>
                  </pic:spPr>
                </pic:pic>
              </a:graphicData>
            </a:graphic>
          </wp:inline>
        </w:drawing>
      </w:r>
      <w:bookmarkEnd w:id="78"/>
    </w:p>
    <w:p>
      <w:pPr>
        <w:pStyle w:val="ImageCaption"/>
      </w:pPr>
      <w:r>
        <w:t xml:space="preserve">Imagen 5: Flujo de trabajo crítico, aprobación de censatía con biometría FNA, para el análisis de las fortalezas, debilidades, y otras consideraciones de gobierno SOA del FNA.</w:t>
      </w:r>
    </w:p>
    <w:bookmarkEnd w:id="0"/>
    <w:p>
      <w:pPr>
        <w:pStyle w:val="Textoindependiente"/>
      </w:pPr>
      <w:r>
        <w:rPr>
          <w:iCs/>
          <w:i/>
        </w:rPr>
        <w:t xml:space="preserve">Fuente: elaboración propia.</w:t>
      </w:r>
    </w:p>
    <w:p>
      <w:pPr>
        <w:pStyle w:val="Textoindependiente"/>
      </w:pPr>
    </w:p>
    <w:bookmarkEnd w:id="79"/>
    <w:bookmarkEnd w:id="80"/>
    <w:bookmarkStart w:id="8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81"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81"/>
    <w:bookmarkStart w:id="82"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82"/>
    <w:bookmarkStart w:id="8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FNA.{#tbl:example-id}</w:t>
      </w:r>
    </w:p>
    <w:tbl>
      <w:tblPr>
        <w:tblStyle w:val="Table"/>
        <w:tblW w:type="pct" w:w="5000"/>
        <w:tblLook w:firstRow="1" w:lastRow="0" w:firstColumn="0" w:lastColumn="0" w:noHBand="0" w:noVBand="0" w:val="0020"/>
        <w:tblCaption w:val="Tabla de asignación del flujo 01, Aprobación de Cesantías FNA.{#tbl:example-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83"/>
    <w:bookmarkEnd w:id="84"/>
    <w:bookmarkStart w:id="92"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5"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5"/>
    <w:bookmarkStart w:id="86"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6"/>
    <w:bookmarkStart w:id="87"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7"/>
    <w:bookmarkStart w:id="88"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8"/>
    <w:bookmarkStart w:id="89"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9"/>
    <w:bookmarkStart w:id="90"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90"/>
    <w:bookmarkStart w:id="91" w:name="repetición-1"/>
    <w:p>
      <w:pPr>
        <w:pStyle w:val="Ttulo3"/>
      </w:pPr>
      <w:r>
        <w:t xml:space="preserve">Repetición</w:t>
      </w:r>
    </w:p>
    <w:p>
      <w:pPr>
        <w:pStyle w:val="FirstParagraph"/>
      </w:pPr>
      <w:r>
        <w:t xml:space="preserve">El flujo es repetible en virtud de la Ley 80.</w:t>
      </w:r>
    </w:p>
    <w:bookmarkEnd w:id="91"/>
    <w:bookmarkEnd w:id="92"/>
    <w:bookmarkStart w:id="93"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93"/>
    <w:bookmarkEnd w:id="94"/>
    <w:bookmarkStart w:id="113" w:name="anexos-del-producto-1-pr01"/>
    <w:p>
      <w:pPr>
        <w:pStyle w:val="Ttulo1"/>
      </w:pPr>
      <w:r>
        <w:t xml:space="preserve">Anexos del Producto 1 (PR01)</w:t>
      </w:r>
    </w:p>
    <w:bookmarkStart w:id="98" w:name="vista-de-segmento-del-proyecto"/>
    <w:p>
      <w:pPr>
        <w:pStyle w:val="Ttulo2"/>
      </w:pPr>
      <w:r>
        <w:t xml:space="preserve">1. Vista de Segmento del Proyecto</w:t>
      </w:r>
    </w:p>
    <w:p>
      <w:pPr>
        <w:pStyle w:val="Figure"/>
      </w:pPr>
      <w:r>
        <w:drawing>
          <wp:inline>
            <wp:extent cx="5600700" cy="6506407"/>
            <wp:effectExtent b="0" l="0" r="0" t="0"/>
            <wp:docPr descr="" title="" id="95" name="Picture"/>
            <a:graphic>
              <a:graphicData uri="http://schemas.openxmlformats.org/drawingml/2006/picture">
                <pic:pic>
                  <pic:nvPicPr>
                    <pic:cNvPr descr="images/segmentoFNAfaseII.jpg" id="96"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97">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8"/>
    <w:bookmarkStart w:id="9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9"/>
    <w:bookmarkStart w:id="10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100"/>
    <w:bookmarkStart w:id="108"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10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101"/>
    <w:bookmarkStart w:id="10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102"/>
    <w:bookmarkStart w:id="10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103"/>
    <w:bookmarkStart w:id="104" w:name="valor-2"/>
    <w:p>
      <w:pPr>
        <w:pStyle w:val="Ttulo3"/>
      </w:pPr>
      <w:r>
        <w:t xml:space="preserve">Valor</w:t>
      </w:r>
    </w:p>
    <w:p>
      <w:pPr>
        <w:pStyle w:val="FirstParagraph"/>
      </w:pPr>
      <w:r>
        <w:rPr>
          <w:iCs/>
          <w:i/>
        </w:rPr>
        <w:t xml:space="preserve">Guía: cuál es el valor que este flujo genera para el FNA.</w:t>
      </w:r>
    </w:p>
    <w:bookmarkEnd w:id="104"/>
    <w:bookmarkStart w:id="10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105"/>
    <w:bookmarkStart w:id="10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6"/>
    <w:bookmarkStart w:id="10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7"/>
    <w:bookmarkEnd w:id="108"/>
    <w:bookmarkStart w:id="112" w:name="referencias"/>
    <w:p>
      <w:pPr>
        <w:pStyle w:val="Ttulo2"/>
      </w:pPr>
      <w:r>
        <w:t xml:space="preserve">Referencias</w:t>
      </w:r>
    </w:p>
    <w:bookmarkStart w:id="109" w:name="refs"/>
    <w:p>
      <w:pPr>
        <w:pStyle w:val="Bibliography"/>
      </w:pPr>
      <w:r>
        <w:t xml:space="preserve">E-Service. Situación SOA Actual del FNA. Etapa I. (2022).</w:t>
      </w:r>
    </w:p>
    <w:bookmarkEnd w:id="109"/>
    <w:bookmarkStart w:id="110" w:name="refs"/>
    <w:p>
      <w:pPr>
        <w:pStyle w:val="Bibliography"/>
      </w:pPr>
      <w:r>
        <w:t xml:space="preserve">E-Service. Arquitectura de Referencia del FNA. Etapa II. (2023).</w:t>
      </w:r>
    </w:p>
    <w:bookmarkEnd w:id="110"/>
    <w:bookmarkStart w:id="111" w:name="refs"/>
    <w:p>
      <w:pPr>
        <w:pStyle w:val="Bibliography"/>
      </w:pPr>
      <w:r>
        <w:t xml:space="preserve">E-Service. Hoja de Ruta e Iniciativas. Etapa III. (2023).</w:t>
      </w:r>
    </w:p>
    <w:bookmarkEnd w:id="111"/>
    <w:bookmarkEnd w:id="112"/>
    <w:bookmarkEnd w:id="11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3" Target="media/rId63.png" /><Relationship Type="http://schemas.openxmlformats.org/officeDocument/2006/relationships/image" Id="rId75" Target="media/rId75.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a089aa59c9762983be883687c95ac7ab7910f2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97"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ca089aa59c9762983be883687c95ac7ab7910f26/"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2023-06-06T17:36:56Z</dcterms:created>
  <dcterms:modified xsi:type="dcterms:W3CDTF">2023-06-06T17:36:56Z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2023-06-06</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