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hwong23/fna-dd-f2-pry1@cc73eec</w:t>
        </w:r>
      </w:hyperlink>
      <w:r>
        <w:t xml:space="preserve"> </w:t>
      </w:r>
      <w:r>
        <w:t xml:space="preserve">del May 30,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p>
      <w:pPr>
        <w:pStyle w:val="Textoindependiente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Stefanini</w:t>
      </w:r>
      <w:r>
        <w:t xml:space="preserve"> </w:t>
      </w:r>
      <w:r>
        <w:t xml:space="preserve">% Version cc73eec del 30 May 2023</w:t>
      </w:r>
    </w:p>
    <w:p>
      <w:pPr>
        <w:pStyle w:val="Textoindependiente"/>
      </w:pPr>
    </w:p>
    <w:bookmarkEnd w:id="28"/>
    <w:bookmarkStart w:id="34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9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su continuidad y ejecución.</w:t>
      </w:r>
    </w:p>
    <w:bookmarkEnd w:id="29"/>
    <w:bookmarkStart w:id="30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0"/>
    <w:bookmarkStart w:id="31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</w:t>
      </w:r>
    </w:p>
    <w:p>
      <w:r>
        <w:pict>
          <v:rect style="width:0;height:1.5pt" o:hralign="center" o:hrstd="t" o:hr="t"/>
        </w:pict>
      </w:r>
    </w:p>
    <w:bookmarkEnd w:id="31"/>
    <w:bookmarkStart w:id="33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cc73eec del 30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bookmarkEnd w:id="33"/>
    <w:bookmarkEnd w:id="34"/>
    <w:bookmarkStart w:id="35" w:name="e-service.-fase-ii.-pry01-gobierno-soa"/>
    <w:p>
      <w:pPr>
        <w:pStyle w:val="Ttulo1"/>
      </w:pPr>
      <w:r>
        <w:t xml:space="preserve">E-Service. Fase II. PRY01 Gobierno SOA</w:t>
      </w:r>
    </w:p>
    <w:bookmarkEnd w:id="35"/>
    <w:bookmarkStart w:id="36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36"/>
    <w:bookmarkStart w:id="40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7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Desplegar las mejoras en los flujos críticos por cargo de la oficina de arquitectura del FNA.</w:t>
      </w:r>
    </w:p>
    <w:bookmarkEnd w:id="37"/>
    <w:bookmarkStart w:id="38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4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4"/>
        </w:numPr>
        <w:pStyle w:val="Compact"/>
      </w:pPr>
      <w:r>
        <w:t xml:space="preserve">Referencia documental del Gobierno SOA del FNA</w:t>
      </w:r>
    </w:p>
    <w:p>
      <w:pPr>
        <w:pStyle w:val="FirstParagraph"/>
      </w:pPr>
    </w:p>
    <w:bookmarkEnd w:id="38"/>
    <w:bookmarkStart w:id="39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5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5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54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1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1"/>
    <w:bookmarkStart w:id="49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42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42"/>
    <w:bookmarkStart w:id="43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43"/>
    <w:bookmarkStart w:id="44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44"/>
    <w:bookmarkStart w:id="45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45"/>
    <w:bookmarkStart w:id="46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46"/>
    <w:bookmarkStart w:id="47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47"/>
    <w:bookmarkStart w:id="48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48"/>
    <w:bookmarkEnd w:id="49"/>
    <w:bookmarkStart w:id="5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0"/>
    <w:bookmarkStart w:id="51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51"/>
    <w:bookmarkStart w:id="53" w:name="referencias"/>
    <w:p>
      <w:pPr>
        <w:pStyle w:val="Ttulo2"/>
      </w:pPr>
      <w:r>
        <w:t xml:space="preserve">Referencias</w:t>
      </w:r>
    </w:p>
    <w:bookmarkStart w:id="52" w:name="refs"/>
    <w:bookmarkEnd w:id="52"/>
    <w:bookmarkEnd w:id="53"/>
    <w:bookmarkEnd w:id="5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cc73eec7957047df8a99407f7f4b8a4870c3cb95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cc73eec7957047df8a99407f7f4b8a4870c3cb95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cc73eec7957047df8a99407f7f4b8a4870c3cb95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cc73eec7957047df8a99407f7f4b8a4870c3cb95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2023-05-30T15:51:10Z</dcterms:created>
  <dcterms:modified xsi:type="dcterms:W3CDTF">2023-05-30T15:51:10Z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2023-05-30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