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STEF@cda7b1f</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1.cda7b1f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1.cda7b1f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1.cda7b1f</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1.cda7b1f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1.cda7b1f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12e00c30-0cd9-4bc8-86a9-c1571b9dd32f"/>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7b827896-d26b-442b-b993-a3253ef1d838"/>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1.cda7b1f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8"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481386e3-bbb2-4aca-b89e-ee94355745b8"/>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8ef50e22-a88f-4b4e-b925-bd38788d8870"/>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6"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Débil (o inexistente</w:t>
      </w:r>
      <w:r>
        <w:rPr>
          <w:rStyle w:val="Refdenotaalpie"/>
        </w:rPr>
        <w:footnoteReference w:id="81"/>
      </w:r>
      <w:r>
        <w:t xml:space="preserve">) procedimiento de evaluación de inversión​</w:t>
      </w:r>
    </w:p>
    <w:p>
      <w:pPr>
        <w:numPr>
          <w:ilvl w:val="0"/>
          <w:numId w:val="1010"/>
        </w:numPr>
        <w:pStyle w:val="Compact"/>
      </w:pPr>
      <w:r>
        <w:t xml:space="preserve">Débil (o inexistente) formalidad para el cálculo de eficacia un inversión​ TI, proveedores</w:t>
      </w:r>
    </w:p>
    <w:p>
      <w:pPr>
        <w:numPr>
          <w:ilvl w:val="0"/>
          <w:numId w:val="1010"/>
        </w:numPr>
        <w:pStyle w:val="Compact"/>
      </w:pPr>
      <w:r>
        <w:t xml:space="preserve">Normnalizar registro de resultados de las entregas de proveedores​ (confiabilidad)</w:t>
      </w:r>
    </w:p>
    <w:p>
      <w:pPr>
        <w:numPr>
          <w:ilvl w:val="0"/>
          <w:numId w:val="1010"/>
        </w:numPr>
        <w:pStyle w:val="Compact"/>
      </w:pPr>
      <w:r>
        <w:t xml:space="preserve">Asignación de responsables de gestión de las inversiones de TI</w:t>
      </w:r>
    </w:p>
    <w:p>
      <w:pPr>
        <w:pStyle w:val="FirstParagraph"/>
      </w:pPr>
    </w:p>
    <w:bookmarkStart w:id="82"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2"/>
    <w:bookmarkStart w:id="83"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3"/>
    <w:bookmarkStart w:id="85"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4"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4"/>
    <w:bookmarkEnd w:id="0"/>
    <w:p>
      <w:pPr>
        <w:pStyle w:val="Textoindependiente"/>
      </w:pPr>
    </w:p>
    <w:bookmarkEnd w:id="85"/>
    <w:bookmarkEnd w:id="86"/>
    <w:bookmarkStart w:id="94"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7"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7"/>
    <w:bookmarkStart w:id="88"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8"/>
    <w:bookmarkStart w:id="89" w:name="arquitectura-1"/>
    <w:p>
      <w:pPr>
        <w:pStyle w:val="Ttulo3"/>
      </w:pPr>
      <w:r>
        <w:t xml:space="preserve">Arquitectura</w:t>
      </w:r>
    </w:p>
    <w:p>
      <w:pPr>
        <w:numPr>
          <w:ilvl w:val="0"/>
          <w:numId w:val="1011"/>
        </w:numPr>
        <w:pStyle w:val="Compact"/>
      </w:pPr>
      <w:r>
        <w:t xml:space="preserve">Implementa la solucion en produccion</w:t>
      </w:r>
    </w:p>
    <w:p>
      <w:pPr>
        <w:numPr>
          <w:ilvl w:val="0"/>
          <w:numId w:val="1011"/>
        </w:numPr>
        <w:pStyle w:val="Compact"/>
      </w:pPr>
      <w:r>
        <w:t xml:space="preserve">Entrega la operacion al grupo de soporte para gestion del dia a dia</w:t>
      </w:r>
    </w:p>
    <w:p>
      <w:pPr>
        <w:numPr>
          <w:ilvl w:val="0"/>
          <w:numId w:val="1011"/>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9"/>
    <w:bookmarkStart w:id="90"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1"/>
    <w:bookmarkStart w:id="92"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2"/>
    <w:bookmarkStart w:id="93" w:name="repetición-1"/>
    <w:p>
      <w:pPr>
        <w:pStyle w:val="Ttulo3"/>
      </w:pPr>
      <w:r>
        <w:t xml:space="preserve">Repetición</w:t>
      </w:r>
    </w:p>
    <w:p>
      <w:pPr>
        <w:pStyle w:val="FirstParagraph"/>
      </w:pPr>
      <w:r>
        <w:t xml:space="preserve">El flujo es repetible en virtud de la Ley 80.</w:t>
      </w:r>
    </w:p>
    <w:bookmarkEnd w:id="93"/>
    <w:bookmarkEnd w:id="94"/>
    <w:bookmarkStart w:id="97"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Procedimiento evaluación de inversión</w:t>
      </w:r>
    </w:p>
    <w:p>
      <w:pPr>
        <w:numPr>
          <w:ilvl w:val="0"/>
          <w:numId w:val="1012"/>
        </w:numPr>
        <w:pStyle w:val="Compact"/>
      </w:pPr>
      <w:r>
        <w:t xml:space="preserve">Cálculo eficacia de inversión,</w:t>
      </w:r>
    </w:p>
    <w:p>
      <w:pPr>
        <w:numPr>
          <w:ilvl w:val="0"/>
          <w:numId w:val="1012"/>
        </w:numPr>
        <w:pStyle w:val="Compact"/>
      </w:pPr>
      <w:r>
        <w:t xml:space="preserve">Confiabilidad de las entregas de proveedores</w:t>
      </w:r>
    </w:p>
    <w:p>
      <w:pPr>
        <w:numPr>
          <w:ilvl w:val="0"/>
          <w:numId w:val="1012"/>
        </w:numPr>
        <w:pStyle w:val="Compact"/>
      </w:pPr>
      <w:r>
        <w:t xml:space="preserve">Responsables gestión de la inversión</w:t>
      </w:r>
    </w:p>
    <w:p>
      <w:pPr>
        <w:pStyle w:val="FirstParagraph"/>
      </w:pPr>
    </w:p>
    <w:bookmarkStart w:id="95" w:name="X76c53ba5acdb7d7c1ffa7966951a99c4353e4f3"/>
    <w:p>
      <w:pPr>
        <w:pStyle w:val="Ttulo3"/>
      </w:pPr>
      <w:r>
        <w:t xml:space="preserve">Responsabilidades y Procedimientos (actividades)</w:t>
      </w:r>
    </w:p>
    <w:bookmarkEnd w:id="95"/>
    <w:bookmarkStart w:id="96" w:name="asignación-de-arquitectura-1"/>
    <w:p>
      <w:pPr>
        <w:pStyle w:val="Ttulo3"/>
      </w:pPr>
      <w:r>
        <w:t xml:space="preserve">Asignación de Arquitectura</w:t>
      </w:r>
    </w:p>
    <w:p>
      <w:r>
        <w:pict>
          <v:rect style="width:0;height:1.5pt" o:hralign="center" o:hrstd="t" o:hr="t"/>
        </w:pict>
      </w:r>
    </w:p>
    <w:bookmarkEnd w:id="96"/>
    <w:bookmarkEnd w:id="97"/>
    <w:bookmarkEnd w:id="98"/>
    <w:bookmarkStart w:id="117" w:name="anexos-del-producto-1-pr01"/>
    <w:p>
      <w:pPr>
        <w:pStyle w:val="Ttulo1"/>
      </w:pPr>
      <w:r>
        <w:t xml:space="preserve">Anexos del Producto 1 (PR01)</w:t>
      </w:r>
    </w:p>
    <w:bookmarkStart w:id="102" w:name="vista-de-segmento-del-proyecto"/>
    <w:p>
      <w:pPr>
        <w:pStyle w:val="Ttulo2"/>
      </w:pPr>
      <w:r>
        <w:t xml:space="preserve">1. Vista de Segmento del Proyecto</w:t>
      </w:r>
    </w:p>
    <w:p>
      <w:pPr>
        <w:pStyle w:val="Figure"/>
      </w:pPr>
      <w:r>
        <w:drawing>
          <wp:inline>
            <wp:extent cx="5600700" cy="6506407"/>
            <wp:effectExtent b="0" l="0" r="0" t="0"/>
            <wp:docPr descr="" title="" id="99" name="Picture"/>
            <a:graphic>
              <a:graphicData uri="http://schemas.openxmlformats.org/drawingml/2006/picture">
                <pic:pic>
                  <pic:nvPicPr>
                    <pic:cNvPr descr="images/segmentoFNAfaseII.jpg" id="10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2"/>
    <w:bookmarkStart w:id="10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3"/>
    <w:bookmarkStart w:id="10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4"/>
    <w:bookmarkStart w:id="112"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5"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5"/>
    <w:bookmarkStart w:id="106"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6"/>
    <w:bookmarkStart w:id="107"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7"/>
    <w:bookmarkStart w:id="108" w:name="valor-2"/>
    <w:p>
      <w:pPr>
        <w:pStyle w:val="Ttulo3"/>
      </w:pPr>
      <w:r>
        <w:t xml:space="preserve">Valor</w:t>
      </w:r>
    </w:p>
    <w:p>
      <w:pPr>
        <w:pStyle w:val="FirstParagraph"/>
      </w:pPr>
      <w:r>
        <w:rPr>
          <w:iCs/>
          <w:i/>
        </w:rPr>
        <w:t xml:space="preserve">Guía: cuál es el valor que este flujo genera para el FNA.</w:t>
      </w:r>
    </w:p>
    <w:bookmarkEnd w:id="108"/>
    <w:bookmarkStart w:id="109"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9"/>
    <w:bookmarkStart w:id="110"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0"/>
    <w:bookmarkStart w:id="111"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1"/>
    <w:bookmarkEnd w:id="112"/>
    <w:bookmarkStart w:id="116" w:name="referencias"/>
    <w:p>
      <w:pPr>
        <w:pStyle w:val="Ttulo2"/>
      </w:pPr>
      <w:r>
        <w:t xml:space="preserve">Referencias</w:t>
      </w:r>
    </w:p>
    <w:bookmarkStart w:id="113" w:name="refs"/>
    <w:p>
      <w:pPr>
        <w:pStyle w:val="Bibliography"/>
      </w:pPr>
      <w:r>
        <w:t xml:space="preserve">E-Service. Situación SOA Actual del FNA. Etapa I. (2022).</w:t>
      </w:r>
    </w:p>
    <w:bookmarkEnd w:id="113"/>
    <w:bookmarkStart w:id="114" w:name="refs"/>
    <w:p>
      <w:pPr>
        <w:pStyle w:val="Bibliography"/>
      </w:pPr>
      <w:r>
        <w:t xml:space="preserve">E-Service. Arquitectura de Referencia del FNA. Etapa II. (2023).</w:t>
      </w:r>
    </w:p>
    <w:bookmarkEnd w:id="114"/>
    <w:bookmarkStart w:id="115" w:name="refs"/>
    <w:p>
      <w:pPr>
        <w:pStyle w:val="Bibliography"/>
      </w:pPr>
      <w:r>
        <w:t xml:space="preserve">E-Service. Hoja de Ruta e Iniciativas. Etapa III. (2023).</w:t>
      </w:r>
    </w:p>
    <w:bookmarkEnd w:id="115"/>
    <w:bookmarkEnd w:id="116"/>
    <w:bookmarkEnd w:id="11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81">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1"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da7b1f655099b9307e29e2113fd5653a91b8c3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1"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da7b1f655099b9307e29e2113fd5653a91b8c3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2023-06-06T19:09:32Z</dcterms:created>
  <dcterms:modified xsi:type="dcterms:W3CDTF">2023-06-06T19:09:32Z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