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8.jpg" ContentType="image/jpeg"/>
  <Override PartName="/word/media/rId49.png" ContentType="image/png"/>
  <Override PartName="/word/media/rId52.png" ContentType="image/png"/>
  <Override PartName="/word/media/rId37.jpg" ContentType="image/jpeg"/>
  <Override PartName="/word/media/rId55.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hwong23/fna-dd-f2-pry1@d417cb2</w:t>
        </w:r>
      </w:hyperlink>
      <w:r>
        <w:t xml:space="preserve"> </w:t>
      </w:r>
      <w:r>
        <w:t xml:space="preserve">del June 4, 2023.</w:t>
      </w:r>
      <w:r>
        <w:t xml:space="preserve"> </w:t>
      </w:r>
    </w:p>
    <w:p>
      <w:pPr>
        <w:pStyle w:val="Textoindependiente"/>
      </w:pPr>
      <w:r>
        <w:t xml:space="preserve">   </w:t>
      </w:r>
      <w:r>
        <w:rPr>
          <w:bCs/>
          <w:b/>
        </w:rPr>
        <w:t xml:space="preserve">Versión</w:t>
      </w:r>
      <w:r>
        <w:t xml:space="preserve"> </w:t>
      </w:r>
      <w:r>
        <w:t xml:space="preserve">del producto 1.d417cb2 del 04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1.d417cb2</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59"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hyperlink r:id="rId34">
              <w:r>
                <w:rPr>
                  <w:rStyle w:val="Hipervnculo"/>
                </w:rPr>
                <w:t xml:space="preserve">Resultados y métricas del diagnóstico de madurez SOA</w:t>
              </w:r>
            </w:hyperlink>
          </w:p>
        </w:tc>
      </w:tr>
    </w:tbl>
    <w:p>
      <w:pPr>
        <w:pStyle w:val="Textoindependiente"/>
      </w:pPr>
    </w:p>
    <w:bookmarkEnd w:id="46"/>
    <w:bookmarkEnd w:id="47"/>
    <w:bookmarkStart w:id="58"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40">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56" name="Picture"/>
            <a:graphic>
              <a:graphicData uri="http://schemas.openxmlformats.org/drawingml/2006/picture">
                <pic:pic>
                  <pic:nvPicPr>
                    <pic:cNvPr descr="images/vistacapacidadesfna.jpg" id="57" name="Picture"/>
                    <pic:cNvPicPr>
                      <a:picLocks noChangeArrowheads="1" noChangeAspect="1"/>
                    </pic:cNvPicPr>
                  </pic:nvPicPr>
                  <pic:blipFill>
                    <a:blip r:embed="rId55"/>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1.d417cb2 del 04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58"/>
    <w:bookmarkEnd w:id="59"/>
    <w:bookmarkStart w:id="77"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bookmarkStart w:id="60"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0"/>
    <w:bookmarkStart w:id="72" w:name="X4df3d730fb24baf3daa09e953c9b0236586da5d"/>
    <w:p>
      <w:pPr>
        <w:pStyle w:val="Ttulo2"/>
      </w:pPr>
      <w:r>
        <w:t xml:space="preserve">CCF. Flujo Crítico Trabajo: 01. Biometría FNA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p>
      <w:pPr>
        <w:pStyle w:val="Textoindependiente"/>
      </w:pPr>
    </w:p>
    <w:bookmarkStart w:id="61"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1"/>
    <w:bookmarkStart w:id="62" w:name="petición"/>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62"/>
    <w:bookmarkStart w:id="63" w:name="arquitectura"/>
    <w:p>
      <w:pPr>
        <w:pStyle w:val="Ttulo3"/>
      </w:pPr>
      <w:r>
        <w:t xml:space="preserve">Arquitectura</w:t>
      </w:r>
    </w:p>
    <w:p>
      <w:pPr>
        <w:numPr>
          <w:ilvl w:val="0"/>
          <w:numId w:val="1009"/>
        </w:numPr>
        <w:pStyle w:val="Compact"/>
      </w:pPr>
      <w:r>
        <w:t xml:space="preserve">paso 1 cobis envia un ID al operador biometrico</w:t>
      </w:r>
    </w:p>
    <w:p>
      <w:pPr>
        <w:numPr>
          <w:ilvl w:val="0"/>
          <w:numId w:val="1009"/>
        </w:numPr>
        <w:pStyle w:val="Compact"/>
      </w:pPr>
      <w:r>
        <w:t xml:space="preserve">paso 2 el operador biometrico responde el ID</w:t>
      </w:r>
    </w:p>
    <w:p>
      <w:pPr>
        <w:numPr>
          <w:ilvl w:val="0"/>
          <w:numId w:val="1009"/>
        </w:numPr>
        <w:pStyle w:val="Compact"/>
      </w:pPr>
      <w:r>
        <w:t xml:space="preserve">paso 3 El operador levanta el servicio</w:t>
      </w:r>
    </w:p>
    <w:p>
      <w:pPr>
        <w:numPr>
          <w:ilvl w:val="0"/>
          <w:numId w:val="1009"/>
        </w:numPr>
        <w:pStyle w:val="Compact"/>
      </w:pPr>
      <w:r>
        <w:t xml:space="preserve">paso 4 El aplicativo core envía la petición de biometria</w:t>
      </w:r>
    </w:p>
    <w:p>
      <w:pPr>
        <w:numPr>
          <w:ilvl w:val="0"/>
          <w:numId w:val="1009"/>
        </w:numPr>
        <w:pStyle w:val="Compact"/>
      </w:pPr>
      <w:r>
        <w:t xml:space="preserve">el operador biometrico responde con un hit o no hit (hit que quiere decir que la persona es quien dice ser, no hit no es quien dice ser)</w:t>
      </w:r>
    </w:p>
    <w:p>
      <w:pPr>
        <w:pStyle w:val="FirstParagraph"/>
      </w:pPr>
      <w:r>
        <w:t xml:space="preserve">Notas: excepcion de los casos de uso, exhaustividad de las pruebas, la confiabilidad de las pruebas, Malla de calidad de las pruebas, fortalecimiento de diseño, categoria: Alta</w:t>
      </w:r>
      <w:r>
        <w:t xml:space="preserve"> </w:t>
      </w:r>
      <w:r>
        <w:t xml:space="preserve">caso de uso: excepciones.</w:t>
      </w:r>
    </w:p>
    <w:bookmarkEnd w:id="63"/>
    <w:bookmarkStart w:id="64" w:name="valor"/>
    <w:p>
      <w:pPr>
        <w:pStyle w:val="Ttulo3"/>
      </w:pPr>
      <w:r>
        <w:t xml:space="preserve">Valor</w:t>
      </w:r>
    </w:p>
    <w:p>
      <w:pPr>
        <w:pStyle w:val="FirstParagraph"/>
      </w:pPr>
      <w:r>
        <w:t xml:space="preserve">El valor es alto, debido a que afecta al consumidor financiero en el retiro de las cesantias</w:t>
      </w:r>
    </w:p>
    <w:bookmarkEnd w:id="64"/>
    <w:bookmarkStart w:id="65" w:name="seguimiento"/>
    <w:p>
      <w:pPr>
        <w:pStyle w:val="Ttulo3"/>
      </w:pPr>
      <w:r>
        <w:t xml:space="preserve">Seguimiento</w:t>
      </w:r>
    </w:p>
    <w:p>
      <w:pPr>
        <w:pStyle w:val="FirstParagraph"/>
      </w:pPr>
      <w:r>
        <w:t xml:space="preserve">El seguimiento se realiza diariamente con la conciliación aplicada por el área usuaria.</w:t>
      </w:r>
    </w:p>
    <w:bookmarkEnd w:id="65"/>
    <w:bookmarkStart w:id="66"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6"/>
    <w:bookmarkStart w:id="67" w:name="repetición"/>
    <w:p>
      <w:pPr>
        <w:pStyle w:val="Ttulo3"/>
      </w:pPr>
      <w:r>
        <w:t xml:space="preserve">Repetición</w:t>
      </w:r>
    </w:p>
    <w:p>
      <w:pPr>
        <w:pStyle w:val="FirstParagraph"/>
      </w:pPr>
      <w:r>
        <w:t xml:space="preserve">Implementar un buen diseño en la aplicacion y malla de calidad en la pruebas.</w:t>
      </w:r>
    </w:p>
    <w:bookmarkEnd w:id="67"/>
    <w:bookmarkStart w:id="71" w:name="anexo.-diagrama-del-flujo"/>
    <w:p>
      <w:pPr>
        <w:pStyle w:val="Ttulo3"/>
      </w:pPr>
      <w:r>
        <w:t xml:space="preserve">Anexo. Diagrama del flujo</w:t>
      </w:r>
    </w:p>
    <w:p>
      <w:pPr>
        <w:pStyle w:val="Figure"/>
      </w:pPr>
      <w:r>
        <w:drawing>
          <wp:inline>
            <wp:extent cx="5600700" cy="2725436"/>
            <wp:effectExtent b="0" l="0" r="0" t="0"/>
            <wp:docPr descr="" title="" id="69" name="Picture"/>
            <a:graphic>
              <a:graphicData uri="http://schemas.openxmlformats.org/drawingml/2006/picture">
                <pic:pic>
                  <pic:nvPicPr>
                    <pic:cNvPr descr="images/flujoBiometriafna.jpg" id="70" name="Picture"/>
                    <pic:cNvPicPr>
                      <a:picLocks noChangeArrowheads="1" noChangeAspect="1"/>
                    </pic:cNvPicPr>
                  </pic:nvPicPr>
                  <pic:blipFill>
                    <a:blip r:embed="rId68"/>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40">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1"/>
    <w:bookmarkEnd w:id="72"/>
    <w:bookmarkStart w:id="76" w:name="X2bbfd86fa9097463c57181e57f741b319d39c9e"/>
    <w:p>
      <w:pPr>
        <w:pStyle w:val="Ttulo2"/>
      </w:pPr>
      <w:r>
        <w:t xml:space="preserve">CCF. Flujo Crítico Trabajo: 02. Inversieon TI</w:t>
      </w:r>
    </w:p>
    <w:p>
      <w:pPr>
        <w:pStyle w:val="FirstParagraph"/>
      </w:pPr>
      <w:r>
        <w:t xml:space="preserve">Riesgos tecnicos. Inversion de tecnología. Un objetivo del Gobierno SOA es la evaluación de la inversión de TI del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Inversión TI</w:t>
            </w:r>
          </w:p>
        </w:tc>
      </w:tr>
    </w:tbl>
    <w:p>
      <w:pPr>
        <w:pStyle w:val="Textoindependiente"/>
      </w:pPr>
    </w:p>
    <w:bookmarkStart w:id="73" w:name="atención-1"/>
    <w:p>
      <w:pPr>
        <w:pStyle w:val="Ttulo3"/>
      </w:pPr>
      <w:r>
        <w:t xml:space="preserve">Atención</w:t>
      </w:r>
    </w:p>
    <w:p>
      <w:pPr>
        <w:pStyle w:val="FirstParagraph"/>
      </w:pPr>
      <w:r>
        <w:t xml:space="preserve">Nota: para la evaluación de las inversiones usaremos dos parámetros: 1. efectividad de las inversiones de tecnologias (…)</w:t>
      </w:r>
      <w:r>
        <w:t xml:space="preserve"> </w:t>
      </w:r>
      <w:r>
        <w:t xml:space="preserve">problemas de efectividad</w:t>
      </w:r>
      <w:r>
        <w:t xml:space="preserve"> </w:t>
      </w:r>
      <w:r>
        <w:t xml:space="preserve">cuales han sido efectivas en cuanto a inversion de tecnologia</w:t>
      </w:r>
      <w:r>
        <w:t xml:space="preserve"> </w:t>
      </w:r>
      <w:r>
        <w:t xml:space="preserve">inversion-costos (proveedores(cobis, estefanini)</w:t>
      </w:r>
      <w:r>
        <w:t xml:space="preserve"> </w:t>
      </w:r>
      <w:r>
        <w:t xml:space="preserve">centro de computo para cobis IBM</w:t>
      </w:r>
      <w:r>
        <w:t xml:space="preserve"> </w:t>
      </w:r>
      <w:r>
        <w:t xml:space="preserve">Rubros mas costosos</w:t>
      </w:r>
    </w:p>
    <w:bookmarkEnd w:id="73"/>
    <w:bookmarkStart w:id="74" w:name="petición-1"/>
    <w:p>
      <w:pPr>
        <w:pStyle w:val="Ttulo3"/>
      </w:pPr>
      <w:r>
        <w:t xml:space="preserve">Petición</w:t>
      </w:r>
    </w:p>
    <w:p>
      <w:pPr>
        <w:pStyle w:val="FirstParagraph"/>
      </w:pP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1 se diligencia el formato de la necesidad al grupo de contratacion</w:t>
      </w:r>
      <w:r>
        <w:t xml:space="preserve"> </w:t>
      </w:r>
      <w:r>
        <w:t xml:space="preserve">2.contratacion da la respuesta si es por contratacion directa o se debe hacer estudio de mercado</w:t>
      </w:r>
      <w:r>
        <w:t xml:space="preserve"> </w:t>
      </w:r>
      <w:r>
        <w:t xml:space="preserve">3 si es por contratacion directa es por que no hay otro oferente en el mercado, o por que el monto no supera los 300 millones</w:t>
      </w:r>
      <w:r>
        <w:t xml:space="preserve"> </w:t>
      </w:r>
      <w:r>
        <w:t xml:space="preserve">4 si es por estudio de mercado, toca llenar los formatos de estudio de la necesidad, anexo tecnico y formato de ans</w:t>
      </w:r>
      <w:r>
        <w:t xml:space="preserve"> </w:t>
      </w:r>
      <w:r>
        <w:t xml:space="preserve">5 se radica la solicitud a contratacion</w:t>
      </w:r>
      <w:r>
        <w:t xml:space="preserve"> </w:t>
      </w:r>
      <w:r>
        <w:t xml:space="preserve">6. se monta al secop el procesos publico</w:t>
      </w:r>
      <w:r>
        <w:t xml:space="preserve"> </w:t>
      </w:r>
      <w:r>
        <w:t xml:space="preserve">7 se solicita cotizacion a los proveedores</w:t>
      </w:r>
      <w:r>
        <w:t xml:space="preserve"> </w:t>
      </w:r>
      <w:r>
        <w:t xml:space="preserve">8 los proveedores entregan cotizacion</w:t>
      </w:r>
      <w:r>
        <w:t xml:space="preserve"> </w:t>
      </w:r>
      <w:r>
        <w:t xml:space="preserve">9 se responden preguntas de los proveedores en el proceso</w:t>
      </w:r>
      <w:r>
        <w:t xml:space="preserve"> </w:t>
      </w:r>
      <w:r>
        <w:t xml:space="preserve">10 los proveedores entregan las cotizaciones</w:t>
      </w:r>
      <w:r>
        <w:t xml:space="preserve"> </w:t>
      </w:r>
      <w:r>
        <w:t xml:space="preserve">11 contratacion entrega resultado de estudio de mercado</w:t>
      </w:r>
      <w:r>
        <w:t xml:space="preserve"> </w:t>
      </w:r>
      <w:r>
        <w:t xml:space="preserve">12 la vicepresidencia de tecnologia con el estudio entregado previamente por contratacion radica solicitud a contratacion</w:t>
      </w:r>
      <w:r>
        <w:t xml:space="preserve"> </w:t>
      </w:r>
      <w:r>
        <w:t xml:space="preserve">13 contratacion publica proceso en secop</w:t>
      </w:r>
      <w:r>
        <w:t xml:space="preserve"> </w:t>
      </w:r>
      <w:r>
        <w:t xml:space="preserve">14 se resuelven preguntas tecnicas del proceso a los proveedores</w:t>
      </w:r>
      <w:r>
        <w:t xml:space="preserve"> </w:t>
      </w:r>
      <w:r>
        <w:t xml:space="preserve">15 se reciben cotizaciones de los proveedores</w:t>
      </w:r>
      <w:r>
        <w:t xml:space="preserve"> </w:t>
      </w:r>
      <w:r>
        <w:t xml:space="preserve">16 de acuerdo a las reglas de participacion contratacion habilita a los oferentes opcionados</w:t>
      </w:r>
      <w:r>
        <w:t xml:space="preserve"> </w:t>
      </w:r>
      <w:r>
        <w:t xml:space="preserve">17 de acuerdo a los pieglos de establece el mecanismo de asignacion del contrato de ti</w:t>
      </w:r>
      <w:r>
        <w:t xml:space="preserve"> </w:t>
      </w:r>
      <w:r>
        <w:t xml:space="preserve">18 en algunas ocasiones aplica subasta en otras se asigna de acuerdo a mejor puntaje dependiendo de los pliegos</w:t>
      </w:r>
      <w:r>
        <w:t xml:space="preserve"> </w:t>
      </w:r>
      <w:r>
        <w:t xml:space="preserve">19 se asigna el contrato al proveedor ganador</w:t>
      </w:r>
      <w:r>
        <w:t xml:space="preserve"> </w:t>
      </w:r>
      <w:r>
        <w:t xml:space="preserve">20 se crea la minuta del contrato</w:t>
      </w:r>
      <w:r>
        <w:t xml:space="preserve"> </w:t>
      </w:r>
      <w:r>
        <w:t xml:space="preserve">21 se firma la minuta</w:t>
      </w:r>
      <w:r>
        <w:t xml:space="preserve"> </w:t>
      </w:r>
      <w:r>
        <w:t xml:space="preserve">22 se asigna el contrato a un apoyo a la supervision de ti</w:t>
      </w:r>
      <w:r>
        <w:t xml:space="preserve"> </w:t>
      </w:r>
      <w:r>
        <w:t xml:space="preserve">23 de establecen planes de trabajo para la implementacion o integracion de las soluciones contratadas</w:t>
      </w:r>
      <w:r>
        <w:t xml:space="preserve"> </w:t>
      </w:r>
      <w:r>
        <w:t xml:space="preserve">24 se implementa la solucion en produccion</w:t>
      </w:r>
      <w:r>
        <w:t xml:space="preserve"> </w:t>
      </w:r>
      <w:r>
        <w:t xml:space="preserve">25 se entrega la operacion al grupo de soporte para gestion del dia a dia</w:t>
      </w:r>
    </w:p>
    <w:p>
      <w:pPr>
        <w:pStyle w:val="Textoindependiente"/>
      </w:pPr>
      <w:r>
        <w:t xml:space="preserve">Cada fábrica tiene un grupo de soporte y mantenimiento para soportes e incidencias y otro para desarollo y nuevas funcionalidades.</w:t>
      </w:r>
    </w:p>
    <w:p>
      <w:r>
        <w:pict>
          <v:rect style="width:0;height:1.5pt" o:hralign="center" o:hrstd="t" o:hr="t"/>
        </w:pict>
      </w:r>
    </w:p>
    <w:bookmarkEnd w:id="75"/>
    <w:bookmarkEnd w:id="76"/>
    <w:bookmarkEnd w:id="77"/>
    <w:bookmarkStart w:id="83" w:name="anexos-del-producto-1-pr01"/>
    <w:p>
      <w:pPr>
        <w:pStyle w:val="Ttulo1"/>
      </w:pPr>
      <w:r>
        <w:t xml:space="preserve">Anexos del Producto 1 (PR01)</w:t>
      </w:r>
    </w:p>
    <w:bookmarkStart w:id="80" w:name="vista-de-segmento-del-proyecto"/>
    <w:p>
      <w:pPr>
        <w:pStyle w:val="Ttulo2"/>
      </w:pPr>
      <w:r>
        <w:t xml:space="preserve">1. Vista de Segmento del Proyecto</w:t>
      </w:r>
    </w:p>
    <w:p>
      <w:pPr>
        <w:pStyle w:val="Figure"/>
      </w:pPr>
      <w:r>
        <w:drawing>
          <wp:inline>
            <wp:extent cx="5600700" cy="6506407"/>
            <wp:effectExtent b="0" l="0" r="0" t="0"/>
            <wp:docPr descr="" title="" id="78" name="Picture"/>
            <a:graphic>
              <a:graphicData uri="http://schemas.openxmlformats.org/drawingml/2006/picture">
                <pic:pic>
                  <pic:nvPicPr>
                    <pic:cNvPr descr="images/segmentoFNAfaseII.jpg" id="7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80"/>
    <w:bookmarkStart w:id="81"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81"/>
    <w:bookmarkStart w:id="82"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04 Jun 2023</w:t>
      </w:r>
    </w:p>
    <w:p>
      <w:pPr>
        <w:pStyle w:val="Textodebloque"/>
      </w:pPr>
      <w:r>
        <w:rPr>
          <w:bCs/>
          <w:b/>
        </w:rPr>
        <w:t xml:space="preserve">Versión</w:t>
      </w:r>
      <w:r>
        <w:t xml:space="preserve"> </w:t>
      </w:r>
      <w:r>
        <w:t xml:space="preserve">1.d417cb2</w:t>
      </w:r>
    </w:p>
    <w:p>
      <w:pPr>
        <w:pStyle w:val="FirstParagraph"/>
      </w:pPr>
    </w:p>
    <w:bookmarkEnd w:id="82"/>
    <w:bookmarkEnd w:id="83"/>
    <w:bookmarkStart w:id="87"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84"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84"/>
    <w:bookmarkStart w:id="85" w:name="contenidos-1"/>
    <w:p>
      <w:pPr>
        <w:pStyle w:val="Ttulo2"/>
      </w:pPr>
      <w:r>
        <w:t xml:space="preserve">Contenidos</w:t>
      </w:r>
    </w:p>
    <w:p>
      <w:pPr>
        <w:numPr>
          <w:ilvl w:val="0"/>
          <w:numId w:val="1010"/>
        </w:numPr>
        <w:pStyle w:val="Compact"/>
      </w:pPr>
      <w:r>
        <w:t xml:space="preserve">Modelo de gobierno SOA del FNA: actores, información y procedimientos</w:t>
      </w:r>
    </w:p>
    <w:p>
      <w:pPr>
        <w:numPr>
          <w:ilvl w:val="0"/>
          <w:numId w:val="1010"/>
        </w:numPr>
        <w:pStyle w:val="Compact"/>
      </w:pPr>
      <w:r>
        <w:t xml:space="preserve">Flujo de trabajo de oficina de arquitectura del FNA</w:t>
      </w:r>
    </w:p>
    <w:p>
      <w:pPr>
        <w:numPr>
          <w:ilvl w:val="0"/>
          <w:numId w:val="1010"/>
        </w:numPr>
        <w:pStyle w:val="Compact"/>
      </w:pPr>
      <w:r>
        <w:t xml:space="preserve">Matriz de responsabilidades oficina de arquitectura</w:t>
      </w:r>
    </w:p>
    <w:p>
      <w:pPr>
        <w:numPr>
          <w:ilvl w:val="0"/>
          <w:numId w:val="1010"/>
        </w:numPr>
        <w:pStyle w:val="Compact"/>
      </w:pPr>
      <w:r>
        <w:t xml:space="preserve">Procedimientos base del modelo de gobierno / oficina de arquitectura</w:t>
      </w:r>
    </w:p>
    <w:p>
      <w:pPr>
        <w:numPr>
          <w:ilvl w:val="0"/>
          <w:numId w:val="1010"/>
        </w:numPr>
        <w:pStyle w:val="Compact"/>
      </w:pPr>
      <w:r>
        <w:t xml:space="preserve">Anexos. Referencia documental del Gobierno SOA del FNA</w:t>
      </w:r>
    </w:p>
    <w:p>
      <w:pPr>
        <w:pStyle w:val="FirstParagraph"/>
      </w:pPr>
    </w:p>
    <w:bookmarkEnd w:id="85"/>
    <w:bookmarkStart w:id="86" w:name="criterios-de-aceptación-1"/>
    <w:p>
      <w:pPr>
        <w:pStyle w:val="Ttulo2"/>
      </w:pPr>
      <w:r>
        <w:t xml:space="preserve">Criterios de Aceptación</w:t>
      </w:r>
    </w:p>
    <w:p>
      <w:pPr>
        <w:numPr>
          <w:ilvl w:val="0"/>
          <w:numId w:val="1011"/>
        </w:numPr>
        <w:pStyle w:val="Compact"/>
      </w:pPr>
      <w:r>
        <w:t xml:space="preserve">Entendimiento funcional y operativa de la oficina de arquitectura FNA</w:t>
      </w:r>
    </w:p>
    <w:p>
      <w:pPr>
        <w:numPr>
          <w:ilvl w:val="0"/>
          <w:numId w:val="1011"/>
        </w:numPr>
        <w:pStyle w:val="Compact"/>
      </w:pPr>
      <w:r>
        <w:t xml:space="preserve">Matriz de roles y procedimientos de la oficina de arquitetura FNA</w:t>
      </w:r>
    </w:p>
    <w:p>
      <w:pPr>
        <w:pStyle w:val="FirstParagraph"/>
      </w:pPr>
    </w:p>
    <w:p>
      <w:r>
        <w:pict>
          <v:rect style="width:0;height:1.5pt" o:hralign="center" o:hrstd="t" o:hr="t"/>
        </w:pict>
      </w:r>
    </w:p>
    <w:bookmarkEnd w:id="86"/>
    <w:bookmarkEnd w:id="87"/>
    <w:bookmarkStart w:id="110"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88"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88"/>
    <w:bookmarkStart w:id="92"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89" w:name="flujos-críticos-de-trabajo"/>
    <w:p>
      <w:pPr>
        <w:pStyle w:val="Ttulo3"/>
      </w:pPr>
      <w:r>
        <w:t xml:space="preserve">Flujos Críticos de Trabajo</w:t>
      </w:r>
    </w:p>
    <w:bookmarkEnd w:id="89"/>
    <w:bookmarkStart w:id="90" w:name="gestión-del-riesgo-técnico"/>
    <w:p>
      <w:pPr>
        <w:pStyle w:val="Ttulo3"/>
      </w:pPr>
      <w:r>
        <w:t xml:space="preserve">Gestión del Riesgo Técnico</w:t>
      </w:r>
    </w:p>
    <w:bookmarkEnd w:id="90"/>
    <w:bookmarkStart w:id="91"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91"/>
    <w:bookmarkEnd w:id="92"/>
    <w:bookmarkStart w:id="100"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3"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3"/>
    <w:bookmarkStart w:id="94"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4"/>
    <w:bookmarkStart w:id="95"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95"/>
    <w:bookmarkStart w:id="96" w:name="valor-1"/>
    <w:p>
      <w:pPr>
        <w:pStyle w:val="Ttulo3"/>
      </w:pPr>
      <w:r>
        <w:t xml:space="preserve">Valor</w:t>
      </w:r>
    </w:p>
    <w:p>
      <w:pPr>
        <w:pStyle w:val="FirstParagraph"/>
      </w:pPr>
      <w:r>
        <w:rPr>
          <w:iCs/>
          <w:i/>
        </w:rPr>
        <w:t xml:space="preserve">Guía: cuál es el valor que este flujo genera para el FNA.</w:t>
      </w:r>
    </w:p>
    <w:bookmarkEnd w:id="96"/>
    <w:bookmarkStart w:id="97" w:name="seguimiento-1"/>
    <w:p>
      <w:pPr>
        <w:pStyle w:val="Ttulo3"/>
      </w:pPr>
      <w:r>
        <w:t xml:space="preserve">Seguimiento</w:t>
      </w:r>
    </w:p>
    <w:p>
      <w:pPr>
        <w:pStyle w:val="FirstParagraph"/>
      </w:pPr>
      <w:r>
        <w:rPr>
          <w:iCs/>
          <w:i/>
        </w:rPr>
        <w:t xml:space="preserve">Guía: cómo se valida que la ejecución o valor gnerado se haya llevado a cabo en dichos términos.</w:t>
      </w:r>
    </w:p>
    <w:bookmarkEnd w:id="97"/>
    <w:bookmarkStart w:id="98" w:name="entrega-1"/>
    <w:p>
      <w:pPr>
        <w:pStyle w:val="Ttulo3"/>
      </w:pPr>
      <w:r>
        <w:t xml:space="preserve">Entrega</w:t>
      </w:r>
    </w:p>
    <w:p>
      <w:pPr>
        <w:pStyle w:val="FirstParagraph"/>
      </w:pPr>
      <w:r>
        <w:rPr>
          <w:iCs/>
          <w:i/>
        </w:rPr>
        <w:t xml:space="preserve">Guía: cómo se da por entregado el resultado del trabajo al cliente objetivo que inició el flujo.</w:t>
      </w:r>
    </w:p>
    <w:bookmarkEnd w:id="98"/>
    <w:bookmarkStart w:id="99" w:name="repetición-1"/>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99"/>
    <w:bookmarkEnd w:id="100"/>
    <w:bookmarkStart w:id="107"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101" w:name="atención-3"/>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101"/>
    <w:bookmarkStart w:id="102" w:name="arquitectura-3"/>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102"/>
    <w:bookmarkStart w:id="103" w:name="valor-2"/>
    <w:p>
      <w:pPr>
        <w:pStyle w:val="Ttulo3"/>
      </w:pPr>
      <w:r>
        <w:t xml:space="preserve">Valor</w:t>
      </w:r>
    </w:p>
    <w:p>
      <w:pPr>
        <w:pStyle w:val="FirstParagraph"/>
      </w:pPr>
      <w:r>
        <w:t xml:space="preserve">El valor es alto, debido a que afecta al Consumidor financiero en el retiro de las cesantias</w:t>
      </w:r>
    </w:p>
    <w:bookmarkEnd w:id="103"/>
    <w:bookmarkStart w:id="104" w:name="seguimiento-2"/>
    <w:p>
      <w:pPr>
        <w:pStyle w:val="Ttulo3"/>
      </w:pPr>
      <w:r>
        <w:t xml:space="preserve">Seguimiento</w:t>
      </w:r>
    </w:p>
    <w:p>
      <w:pPr>
        <w:pStyle w:val="FirstParagraph"/>
      </w:pPr>
      <w:r>
        <w:t xml:space="preserve">El seguimiento se realiza diariamente con la conciliacion aplicada por el area usuaria</w:t>
      </w:r>
    </w:p>
    <w:bookmarkEnd w:id="104"/>
    <w:bookmarkStart w:id="105" w:name="entrega-2"/>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105"/>
    <w:bookmarkStart w:id="106" w:name="repetición-2"/>
    <w:p>
      <w:pPr>
        <w:pStyle w:val="Ttulo3"/>
      </w:pPr>
      <w:r>
        <w:t xml:space="preserve">Repetición</w:t>
      </w:r>
    </w:p>
    <w:p>
      <w:pPr>
        <w:pStyle w:val="FirstParagraph"/>
      </w:pPr>
      <w:r>
        <w:t xml:space="preserve">_Guía: Implementar un buen diseño en la aplicacion y malla de calidad en la pruebas</w:t>
      </w:r>
    </w:p>
    <w:bookmarkEnd w:id="106"/>
    <w:bookmarkEnd w:id="107"/>
    <w:bookmarkStart w:id="109" w:name="referencias"/>
    <w:p>
      <w:pPr>
        <w:pStyle w:val="Ttulo2"/>
      </w:pPr>
      <w:r>
        <w:t xml:space="preserve">Referencias</w:t>
      </w:r>
    </w:p>
    <w:bookmarkStart w:id="108" w:name="refs"/>
    <w:bookmarkEnd w:id="108"/>
    <w:bookmarkEnd w:id="109"/>
    <w:bookmarkEnd w:id="11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8" Target="media/rId68.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5" Target="media/rId55.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417cb281f9eb50f0a4c9efff54626ff6baa224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417cb281f9eb50f0a4c9efff54626ff6baa224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d417cb281f9eb50f0a4c9efff54626ff6baa224a"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d417cb281f9eb50f0a4c9efff54626ff6baa224a/"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2023-06-04T21:39:25Z</dcterms:created>
  <dcterms:modified xsi:type="dcterms:W3CDTF">2023-06-04T21:39:25Z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