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hwong23/fna-dd-f2-pry1@d777613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Version d777613 del 30 May 2023</w:t>
      </w:r>
    </w:p>
    <w:p>
      <w:pPr>
        <w:pStyle w:val="Textoindependiente"/>
      </w:pPr>
    </w:p>
    <w:bookmarkEnd w:id="28"/>
    <w:bookmarkStart w:id="39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d777613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p>
      <w:pPr>
        <w:pStyle w:val="FirstParagraph"/>
      </w:pPr>
      <w:r>
        <w:t xml:space="preserve">FLAVIO</w: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 ** REACTIVO ** 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 ** Política de Gobierno Digital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del Ministerio de Tecnologías de la Información y las Comunicaciones</w:t>
      </w:r>
      <w:r>
        <w:rPr>
          <w:bCs/>
          <w:b/>
        </w:rPr>
        <w:t xml:space="preserve"> </w:t>
      </w:r>
    </w:p>
    <w:p>
      <w:pPr>
        <w:pStyle w:val="Textoindependiente"/>
      </w:pPr>
      <w:r>
        <w:t xml:space="preserve">Y dentro de esos procesos misionales, las actividades asociadas a ** Diseño de Servicios y Soluciones FNA ** y ** Verificación y Calidad de Implementación **,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 ** dos meses ** 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7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 ** Diseño de Servicios y Soluciones FNA ** y ** Verificación y Calidad de Implementación **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 ** Diseño de Servicios y Soluciones FNA ** y ** Verificación y Calidad de Implementación **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 ** e-Competence Framework (e-CF)—A common European Framework for ICT Professionals in all industry sectors—Part 1: Framework, 2016 **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 ** MinTIC **,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 ** Verificación y Calidad de Implementación ** 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 ** Gobierno SOA **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pStyle w:val="Textoindependiente"/>
      </w:pPr>
      <w:r>
        <w:t xml:space="preserve">• Procesos</w:t>
      </w:r>
      <w:r>
        <w:t xml:space="preserve"> </w:t>
      </w:r>
      <w:r>
        <w:t xml:space="preserve">• Estructura</w:t>
      </w:r>
      <w:r>
        <w:t xml:space="preserve"> </w:t>
      </w:r>
      <w:r>
        <w:t xml:space="preserve">• Habilidades y Competencias</w:t>
      </w:r>
      <w:r>
        <w:t xml:space="preserve"> </w:t>
      </w:r>
      <w:r>
        <w:t xml:space="preserve">• Políticas</w:t>
      </w:r>
      <w:r>
        <w:t xml:space="preserve"> </w:t>
      </w:r>
      <w:r>
        <w:t xml:space="preserve">• Cultura y Ética</w:t>
      </w:r>
      <w:r>
        <w:t xml:space="preserve"> </w:t>
      </w:r>
      <w:r>
        <w:t xml:space="preserve">• Infraestructura</w:t>
      </w:r>
      <w:r>
        <w:t xml:space="preserve"> </w:t>
      </w:r>
      <w:r>
        <w:t xml:space="preserve">• Elementos de Información</w:t>
      </w:r>
    </w:p>
    <w:bookmarkEnd w:id="36"/>
    <w:bookmarkEnd w:id="37"/>
    <w:bookmarkStart w:id="38" w:name="anexo-vista-de-segmento"/>
    <w:p>
      <w:pPr>
        <w:pStyle w:val="Ttulo2"/>
      </w:pPr>
      <w:r>
        <w:t xml:space="preserve">Anexo vista de segmento</w:t>
      </w:r>
    </w:p>
    <w:bookmarkEnd w:id="38"/>
    <w:bookmarkEnd w:id="39"/>
    <w:bookmarkStart w:id="40" w:name="e-service.-fase-ii.-pry01-gobierno-soa"/>
    <w:p>
      <w:pPr>
        <w:pStyle w:val="Ttulo1"/>
      </w:pPr>
      <w:r>
        <w:t xml:space="preserve">E-Service. Fase II. PRY01 Gobierno SOA</w:t>
      </w:r>
    </w:p>
    <w:bookmarkEnd w:id="40"/>
    <w:bookmarkStart w:id="4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1"/>
    <w:bookmarkStart w:id="4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2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42"/>
    <w:bookmarkStart w:id="4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7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43"/>
    <w:bookmarkStart w:id="44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8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63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6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6"/>
    <w:bookmarkStart w:id="50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7" w:name="flujos-críticos-de-trabajo"/>
    <w:p>
      <w:pPr>
        <w:pStyle w:val="Ttulo3"/>
      </w:pPr>
      <w:r>
        <w:t xml:space="preserve">Flujos Críticos de Trabajo</w:t>
      </w:r>
    </w:p>
    <w:bookmarkEnd w:id="47"/>
    <w:bookmarkStart w:id="48" w:name="gestión-del-riesgo-técnico"/>
    <w:p>
      <w:pPr>
        <w:pStyle w:val="Ttulo3"/>
      </w:pPr>
      <w:r>
        <w:t xml:space="preserve">Gestión del Riesgo Técnico</w:t>
      </w:r>
    </w:p>
    <w:bookmarkEnd w:id="48"/>
    <w:bookmarkStart w:id="49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49"/>
    <w:bookmarkEnd w:id="50"/>
    <w:bookmarkStart w:id="58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1"/>
    <w:bookmarkStart w:id="52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2"/>
    <w:bookmarkStart w:id="53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53"/>
    <w:bookmarkStart w:id="54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4"/>
    <w:bookmarkStart w:id="55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5"/>
    <w:bookmarkStart w:id="56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6"/>
    <w:bookmarkStart w:id="57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57"/>
    <w:bookmarkEnd w:id="58"/>
    <w:bookmarkStart w:id="59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9"/>
    <w:bookmarkStart w:id="60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0"/>
    <w:bookmarkStart w:id="62" w:name="referencias"/>
    <w:p>
      <w:pPr>
        <w:pStyle w:val="Ttulo2"/>
      </w:pPr>
      <w:r>
        <w:t xml:space="preserve">Referencias</w:t>
      </w:r>
    </w:p>
    <w:bookmarkStart w:id="61" w:name="refs"/>
    <w:bookmarkEnd w:id="61"/>
    <w:bookmarkEnd w:id="62"/>
    <w:bookmarkEnd w:id="6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d777613ab7406060507cdebf31e1157d593a2cd5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d777613ab7406060507cdebf31e1157d593a2cd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d777613ab7406060507cdebf31e1157d593a2cd5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d777613ab7406060507cdebf31e1157d593a2cd5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2023-05-30T17:19:08Z</dcterms:created>
  <dcterms:modified xsi:type="dcterms:W3CDTF">2023-05-30T17:19:08Z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