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hwong23/fna-dd-f2-pry1@dc18380</w:t>
        </w:r>
      </w:hyperlink>
      <w:r>
        <w:t xml:space="preserve"> </w:t>
      </w:r>
      <w:r>
        <w:t xml:space="preserve">del June 1, 2023.</w:t>
      </w:r>
      <w:r>
        <w:t xml:space="preserve"> </w:t>
      </w:r>
    </w:p>
    <w:bookmarkStart w:id="28"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7" w:name="correspondence"/>
    <w:p>
      <w:pPr>
        <w:pStyle w:val="FirstParagraph"/>
      </w:pPr>
      <w:r>
        <w:t xml:space="preserve">✉ — Enviar mensajes a</w:t>
      </w:r>
      <w:r>
        <w:t xml:space="preserve"> </w:t>
      </w:r>
      <w:hyperlink r:id="rId26">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7"/>
    <w:bookmarkEnd w:id="28"/>
    <w:bookmarkStart w:id="30"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dc18380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r>
        <w:t xml:space="preserve">% E-Service. Fase II. PRY01 Gobierno SOA. Contenido de los Productos Contractuales. Contrato 1812020</w:t>
      </w:r>
      <w:r>
        <w:t xml:space="preserve"> </w:t>
      </w:r>
      <w:r>
        <w:t xml:space="preserve">% FNA, Stefanini</w:t>
      </w:r>
      <w:r>
        <w:t xml:space="preserve"> </w:t>
      </w:r>
      <w:r>
        <w:t xml:space="preserve">% Version dc18380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de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dc18380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2"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r>
        <w:t xml:space="preserve">,</w:t>
      </w:r>
      <w:r>
        <w:t xml:space="preserve"> </w:t>
      </w:r>
      <w:r>
        <w:t xml:space="preserve">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numPr>
          <w:ilvl w:val="0"/>
          <w:numId w:val="1004"/>
        </w:numPr>
        <w:pStyle w:val="Compact"/>
      </w:pPr>
      <w:r>
        <w:t xml:space="preserve">La infraestructura tecnológica que soporta los servicios</w:t>
      </w: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w:t>
      </w:r>
      <w:r>
        <w:t xml:space="preserve"> </w:t>
      </w:r>
      <w:r>
        <w:t xml:space="preserve">recomendaciones de los marcos de referencia:</w:t>
      </w:r>
      <w:r>
        <w:t xml:space="preserve"> </w:t>
      </w:r>
      <w:r>
        <w:rPr>
          <w:bCs/>
          <w:b/>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w:t>
      </w:r>
      <w:r>
        <w:t xml:space="preserve"> </w:t>
      </w:r>
      <w:r>
        <w:t xml:space="preserve">la adquisición/contratación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w:t>
      </w:r>
      <w:r>
        <w:t xml:space="preserve"> </w:t>
      </w:r>
      <w:r>
        <w:t xml:space="preserve">iniciativas que se generan desde los dos procesos que son parte del alcance de esta fase; la ejecución de los proyectos que se generaron</w:t>
      </w:r>
      <w:r>
        <w:t xml:space="preserve"> </w:t>
      </w:r>
      <w:r>
        <w:t xml:space="preserve">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w:t>
      </w:r>
      <w:r>
        <w:t xml:space="preserve"> </w:t>
      </w:r>
      <w:r>
        <w:t xml:space="preserve">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w:t>
      </w:r>
      <w:r>
        <w:t xml:space="preserve"> </w:t>
      </w:r>
      <w:r>
        <w:t xml:space="preserve">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46"/>
    <w:bookmarkEnd w:id="47"/>
    <w:bookmarkStart w:id="51" w:name="anexo-del-producto-1-pr01"/>
    <w:p>
      <w:pPr>
        <w:pStyle w:val="Ttulo2"/>
      </w:pPr>
      <w:r>
        <w:t xml:space="preserve">Anexo del Producto 1 (PR01)</w:t>
      </w:r>
    </w:p>
    <w:bookmarkStart w:id="50" w:name="vista-de-segmento-del-proyecto"/>
    <w:p>
      <w:pPr>
        <w:pStyle w:val="Ttulo3"/>
      </w:pPr>
      <w:r>
        <w:t xml:space="preserve">Vista de Segmento del Proyecto</w:t>
      </w:r>
    </w:p>
    <w:p>
      <w:pPr>
        <w:pStyle w:val="Figure"/>
      </w:pPr>
      <w:r>
        <w:drawing>
          <wp:inline>
            <wp:extent cx="5600700" cy="6506407"/>
            <wp:effectExtent b="0" l="0" r="0" t="0"/>
            <wp:docPr descr="" title="" id="48" name="Picture"/>
            <a:graphic>
              <a:graphicData uri="http://schemas.openxmlformats.org/drawingml/2006/picture">
                <pic:pic>
                  <pic:nvPicPr>
                    <pic:cNvPr descr="images/segmentoFNAfaseII.jpg" id="4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0"/>
    <w:bookmarkEnd w:id="51"/>
    <w:bookmarkEnd w:id="52"/>
    <w:bookmarkStart w:id="53" w:name="e-service.-fase-ii.-pry01-gobierno-soa"/>
    <w:p>
      <w:pPr>
        <w:pStyle w:val="Ttulo1"/>
      </w:pPr>
      <w:r>
        <w:t xml:space="preserve">E-Service. Fase II. PRY01 Gobierno SOA</w:t>
      </w:r>
    </w:p>
    <w:bookmarkEnd w:id="53"/>
    <w:bookmarkStart w:id="54" w:name="Xe92f3a0c872b25ee85757beaa64c98c44252204"/>
    <w:p>
      <w:pPr>
        <w:pStyle w:val="Ttulo1"/>
      </w:pPr>
      <w:r>
        <w:t xml:space="preserve">Contenido de los Productos Contractuales, (#contrato 181-2020)</w:t>
      </w:r>
    </w:p>
    <w:bookmarkEnd w:id="54"/>
    <w:bookmarkStart w:id="58" w:name="Xa839c55a2b9af1e80f839677fa6dec7ad0b5541"/>
    <w:p>
      <w:pPr>
        <w:pStyle w:val="Ttulo1"/>
      </w:pPr>
      <w:r>
        <w:t xml:space="preserve">Producto 1: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5"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5"/>
    <w:bookmarkStart w:id="56"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Modelo de gobierno oficina de arquitectura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6"/>
    <w:bookmarkStart w:id="57" w:name="criterios-de-aceptación-1"/>
    <w:p>
      <w:pPr>
        <w:pStyle w:val="Ttulo2"/>
      </w:pPr>
      <w:r>
        <w:t xml:space="preserve">Criterios de Aceptación</w:t>
      </w:r>
    </w:p>
    <w:p>
      <w:pPr>
        <w:numPr>
          <w:ilvl w:val="0"/>
          <w:numId w:val="1009"/>
        </w:numPr>
        <w:pStyle w:val="Compact"/>
      </w:pPr>
      <w:r>
        <w:t xml:space="preserve">Lista de cambios para el segmento FNA: ítems incluídos, por mejorar, nuevos y eliminados</w:t>
      </w:r>
    </w:p>
    <w:p>
      <w:pPr>
        <w:numPr>
          <w:ilvl w:val="0"/>
          <w:numId w:val="1009"/>
        </w:numPr>
        <w:pStyle w:val="Compact"/>
      </w:pPr>
      <w:r>
        <w:t xml:space="preserve">Hoja de ruta preliminar hacia un objetivo de mejora</w:t>
      </w:r>
    </w:p>
    <w:p>
      <w:r>
        <w:pict>
          <v:rect style="width:0;height:1.5pt" o:hralign="center" o:hrstd="t" o:hr="t"/>
        </w:pict>
      </w:r>
    </w:p>
    <w:bookmarkEnd w:id="57"/>
    <w:bookmarkEnd w:id="58"/>
    <w:bookmarkStart w:id="75"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59"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59"/>
    <w:bookmarkStart w:id="63"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0" w:name="flujos-críticos-de-trabajo"/>
    <w:p>
      <w:pPr>
        <w:pStyle w:val="Ttulo3"/>
      </w:pPr>
      <w:r>
        <w:t xml:space="preserve">Flujos Críticos de Trabajo</w:t>
      </w:r>
    </w:p>
    <w:bookmarkEnd w:id="60"/>
    <w:bookmarkStart w:id="61" w:name="gestión-del-riesgo-técnico"/>
    <w:p>
      <w:pPr>
        <w:pStyle w:val="Ttulo3"/>
      </w:pPr>
      <w:r>
        <w:t xml:space="preserve">Gestión del Riesgo Técnico</w:t>
      </w:r>
    </w:p>
    <w:bookmarkEnd w:id="61"/>
    <w:bookmarkStart w:id="62"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2"/>
    <w:bookmarkEnd w:id="63"/>
    <w:bookmarkStart w:id="71"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4"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4"/>
    <w:bookmarkStart w:id="65"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5"/>
    <w:bookmarkStart w:id="66"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6"/>
    <w:bookmarkStart w:id="67" w:name="valor"/>
    <w:p>
      <w:pPr>
        <w:pStyle w:val="Ttulo3"/>
      </w:pPr>
      <w:r>
        <w:t xml:space="preserve">Valor</w:t>
      </w:r>
    </w:p>
    <w:p>
      <w:pPr>
        <w:pStyle w:val="FirstParagraph"/>
      </w:pPr>
      <w:r>
        <w:rPr>
          <w:iCs/>
          <w:i/>
        </w:rPr>
        <w:t xml:space="preserve">Guía: cuál es el valor que este flujo genera para el FNA.</w:t>
      </w:r>
    </w:p>
    <w:bookmarkEnd w:id="67"/>
    <w:bookmarkStart w:id="68"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8"/>
    <w:bookmarkStart w:id="69"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69"/>
    <w:bookmarkStart w:id="70"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0"/>
    <w:bookmarkEnd w:id="71"/>
    <w:bookmarkStart w:id="72" w:name="Xefe3457da656460a12d8856c71d127194e9808c"/>
    <w:p>
      <w:pPr>
        <w:pStyle w:val="Ttulo2"/>
      </w:pPr>
      <w:r>
        <w:t xml:space="preserve">Lista de Fases y Entregables de la Propuesta</w:t>
      </w:r>
    </w:p>
    <w:tbl>
      <w:tblPr>
        <w:tblStyle w:val="Table"/>
        <w:tblW w:type="pct" w:w="5000"/>
        <w:tblLook w:firstRow="1" w:lastRow="0" w:firstColumn="0" w:lastColumn="0" w:noHBand="0" w:noVBand="0" w:val="0020"/>
      </w:tblPr>
      <w:tblGrid>
        <w:gridCol w:w="570"/>
        <w:gridCol w:w="6278"/>
        <w:gridCol w:w="1070"/>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532"/>
        <w:gridCol w:w="6389"/>
        <w:gridCol w:w="998"/>
      </w:tblGrid>
      <w:tr>
        <w:trPr>
          <w:tblHeader w:val="true"/>
        </w:trPr>
        <w:tc>
          <w:tcPr/>
          <w:p>
            <w:pPr>
              <w:pStyle w:val="Compact"/>
            </w:pPr>
          </w:p>
        </w:tc>
        <w:tc>
          <w:tcPr/>
          <w:p>
            <w:pPr>
              <w:pStyle w:val="Compact"/>
              <w:jc w:val="left"/>
            </w:pPr>
            <w:r>
              <w:t xml:space="preserve">PRY02. Arquitectura Referencia 2.0</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PR10. Detalle de los ítems de arquitectura impactados por el proyecto</w:t>
            </w:r>
          </w:p>
        </w:tc>
        <w:tc>
          <w:tcPr/>
          <w:p>
            <w:pPr>
              <w:pStyle w:val="Compact"/>
            </w:pPr>
          </w:p>
        </w:tc>
      </w:tr>
      <w:tr>
        <w:tc>
          <w:tcPr/>
          <w:p>
            <w:pPr>
              <w:pStyle w:val="Compact"/>
            </w:pPr>
          </w:p>
        </w:tc>
        <w:tc>
          <w:tcPr/>
          <w:p>
            <w:pPr>
              <w:pStyle w:val="Compact"/>
              <w:jc w:val="left"/>
            </w:pPr>
            <w:r>
              <w:t xml:space="preserve">PR010.1.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PR11. Detalle de los recursos, herramientas, roles, responsabilidades y participantes</w:t>
            </w:r>
          </w:p>
        </w:tc>
        <w:tc>
          <w:tcPr/>
          <w:p>
            <w:pPr>
              <w:pStyle w:val="Compact"/>
            </w:pPr>
          </w:p>
        </w:tc>
      </w:tr>
      <w:tr>
        <w:tc>
          <w:tcPr/>
          <w:p>
            <w:pPr>
              <w:pStyle w:val="Compact"/>
            </w:pPr>
          </w:p>
        </w:tc>
        <w:tc>
          <w:tcPr/>
          <w:p>
            <w:pPr>
              <w:pStyle w:val="Compact"/>
              <w:jc w:val="left"/>
            </w:pPr>
            <w:r>
              <w:t xml:space="preserve">PR12. Diseño detallado y vistas funcional, despliegue, información, integración y tecnología ​</w:t>
            </w:r>
          </w:p>
        </w:tc>
        <w:tc>
          <w:tcPr/>
          <w:p>
            <w:pPr>
              <w:pStyle w:val="Compact"/>
            </w:pPr>
          </w:p>
        </w:tc>
      </w:tr>
      <w:tr>
        <w:tc>
          <w:tcPr/>
          <w:p>
            <w:pPr>
              <w:pStyle w:val="Compact"/>
              <w:jc w:val="left"/>
            </w:pPr>
            <w:r>
              <w:t xml:space="preserve">Fase 2</w:t>
            </w:r>
          </w:p>
        </w:tc>
        <w:tc>
          <w:tcPr/>
          <w:p>
            <w:pPr>
              <w:pStyle w:val="Compact"/>
              <w:jc w:val="left"/>
            </w:pPr>
            <w:r>
              <w:t xml:space="preserve">PR13. Modelado en lenguaje y herramienta de diseño del FNA​</w:t>
            </w:r>
          </w:p>
        </w:tc>
        <w:tc>
          <w:tcPr/>
          <w:p>
            <w:pPr>
              <w:pStyle w:val="Compact"/>
            </w:pPr>
          </w:p>
        </w:tc>
      </w:tr>
      <w:tr>
        <w:tc>
          <w:tcPr/>
          <w:p>
            <w:pPr>
              <w:pStyle w:val="Compact"/>
            </w:pPr>
          </w:p>
        </w:tc>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Fase 3</w:t>
            </w:r>
          </w:p>
        </w:tc>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Fase 4</w:t>
            </w:r>
          </w:p>
        </w:tc>
        <w:tc>
          <w:tcPr/>
          <w:p>
            <w:pPr>
              <w:pStyle w:val="Compact"/>
              <w:jc w:val="left"/>
            </w:pPr>
            <w:r>
              <w:t xml:space="preserve">PR16. Análisis de impacto y modelos actualizados de los ítems de arquitectura</w:t>
            </w:r>
          </w:p>
        </w:tc>
        <w:tc>
          <w:tcPr/>
          <w:p>
            <w:pPr>
              <w:pStyle w:val="Compact"/>
            </w:pPr>
          </w:p>
        </w:tc>
      </w:tr>
      <w:tr>
        <w:tc>
          <w:tcPr/>
          <w:p>
            <w:pPr>
              <w:pStyle w:val="Compact"/>
            </w:pPr>
          </w:p>
        </w:tc>
        <w:tc>
          <w:tcPr/>
          <w:p>
            <w:pPr>
              <w:pStyle w:val="Compact"/>
              <w:jc w:val="left"/>
            </w:pPr>
            <w:r>
              <w:t xml:space="preserve">PR17. Ítems de arquitectura incrementados en ejecución</w:t>
            </w:r>
          </w:p>
        </w:tc>
        <w:tc>
          <w:tcPr/>
          <w:p>
            <w:pPr>
              <w:pStyle w:val="Compact"/>
            </w:pPr>
          </w:p>
        </w:tc>
      </w:tr>
      <w:tr>
        <w:tc>
          <w:tcPr/>
          <w:p>
            <w:pPr>
              <w:pStyle w:val="Compact"/>
              <w:jc w:val="left"/>
            </w:pPr>
            <w:r>
              <w:t xml:space="preserve">A</w:t>
            </w:r>
          </w:p>
        </w:tc>
        <w:tc>
          <w:tcPr/>
          <w:p>
            <w:pPr>
              <w:pStyle w:val="Compact"/>
              <w:jc w:val="left"/>
            </w:pPr>
            <w:r>
              <w:t xml:space="preserve">Acelerar el desarrollo de las arquitecturas de solución​</w:t>
            </w:r>
          </w:p>
        </w:tc>
        <w:tc>
          <w:tcPr/>
          <w:p>
            <w:pPr>
              <w:pStyle w:val="Compact"/>
            </w:pPr>
          </w:p>
        </w:tc>
      </w:tr>
      <w:tr>
        <w:tc>
          <w:tcPr/>
          <w:p>
            <w:pPr>
              <w:pStyle w:val="Compact"/>
            </w:pPr>
          </w:p>
        </w:tc>
        <w:tc>
          <w:tcPr/>
          <w:p>
            <w:pPr>
              <w:pStyle w:val="Compact"/>
              <w:jc w:val="left"/>
            </w:pPr>
            <w:r>
              <w:t xml:space="preserve">Relacionar las implementaciones con las áreas de negocio y TI​</w:t>
            </w:r>
          </w:p>
        </w:tc>
        <w:tc>
          <w:tcPr/>
          <w:p>
            <w:pPr>
              <w:pStyle w:val="Compact"/>
            </w:pPr>
          </w:p>
        </w:tc>
      </w:tr>
      <w:tr>
        <w:tc>
          <w:tcPr/>
          <w:p>
            <w:pPr>
              <w:pStyle w:val="Compact"/>
            </w:pPr>
          </w:p>
        </w:tc>
        <w:tc>
          <w:tcPr/>
          <w:p>
            <w:pPr>
              <w:pStyle w:val="Compact"/>
              <w:jc w:val="left"/>
            </w:pPr>
            <w:r>
              <w:t xml:space="preserve">Demostrar el cumplimiento de los lineamientos y políticas de gobierno​ SOA/TI del Fondo</w:t>
            </w:r>
          </w:p>
        </w:tc>
        <w:tc>
          <w:tcPr/>
          <w:p>
            <w:pPr>
              <w:pStyle w:val="Compact"/>
            </w:pPr>
          </w:p>
        </w:tc>
      </w:tr>
      <w:tr>
        <w:tc>
          <w:tcPr/>
          <w:p>
            <w:pPr>
              <w:pStyle w:val="Compact"/>
            </w:pPr>
          </w:p>
        </w:tc>
        <w:tc>
          <w:tcPr/>
          <w:p>
            <w:pPr>
              <w:pStyle w:val="Compact"/>
              <w:jc w:val="left"/>
            </w:pPr>
            <w:r>
              <w:t xml:space="preserve">Documentación técnica en el depósito de arquitectura institucional​</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480"/>
        <w:gridCol w:w="6540"/>
        <w:gridCol w:w="900"/>
      </w:tblGrid>
      <w:tr>
        <w:trPr>
          <w:tblHeader w:val="true"/>
        </w:trPr>
        <w:tc>
          <w:tcPr/>
          <w:p>
            <w:pPr>
              <w:pStyle w:val="Compact"/>
            </w:pPr>
          </w:p>
        </w:tc>
        <w:tc>
          <w:tcPr/>
          <w:p>
            <w:pPr>
              <w:pStyle w:val="Compact"/>
              <w:jc w:val="left"/>
            </w:pPr>
            <w:r>
              <w:t xml:space="preserve">PRY03. Estructuración de proyectos posteriores de la hoja de ruta E-Service</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pPr>
          </w:p>
        </w:tc>
        <w:tc>
          <w:tcPr/>
          <w:p>
            <w:pPr>
              <w:pStyle w:val="Compact"/>
              <w:jc w:val="left"/>
            </w:pPr>
            <w:r>
              <w:t xml:space="preserve">PR20.1. Aprobación de inicio de los proyectos de la hoja de ruta E-Service</w:t>
            </w:r>
          </w:p>
        </w:tc>
        <w:tc>
          <w:tcPr/>
          <w:p>
            <w:pPr>
              <w:pStyle w:val="Compact"/>
            </w:pPr>
          </w:p>
        </w:tc>
      </w:tr>
      <w:tr>
        <w:tc>
          <w:tcPr/>
          <w:p>
            <w:pPr>
              <w:pStyle w:val="Compact"/>
              <w:jc w:val="left"/>
            </w:pPr>
            <w:r>
              <w:t xml:space="preserve">Fase 1</w:t>
            </w:r>
          </w:p>
        </w:tc>
        <w:tc>
          <w:tcPr/>
          <w:p>
            <w:pPr>
              <w:pStyle w:val="Compact"/>
              <w:jc w:val="left"/>
            </w:pPr>
            <w:r>
              <w:t xml:space="preserve">PR22. Plan de trabajo de los proyectos de la hoja de ruta E-Service</w:t>
            </w:r>
          </w:p>
        </w:tc>
        <w:tc>
          <w:tcPr/>
          <w:p>
            <w:pPr>
              <w:pStyle w:val="Compact"/>
            </w:pPr>
          </w:p>
        </w:tc>
      </w:tr>
      <w:tr>
        <w:tc>
          <w:tcPr/>
          <w:p>
            <w:pPr>
              <w:pStyle w:val="Compact"/>
            </w:pPr>
          </w:p>
        </w:tc>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pPr>
          </w:p>
        </w:tc>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Fase 2</w:t>
            </w:r>
          </w:p>
        </w:tc>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Fase 3</w:t>
            </w:r>
          </w:p>
        </w:tc>
        <w:tc>
          <w:tcPr/>
          <w:p>
            <w:pPr>
              <w:pStyle w:val="Compact"/>
              <w:jc w:val="left"/>
            </w:pPr>
            <w:r>
              <w:t xml:space="preserve">PR26. Ficha de proyectos hoja de ruta E-Service. Incremento 2</w:t>
            </w:r>
          </w:p>
        </w:tc>
        <w:tc>
          <w:tcPr/>
          <w:p>
            <w:pPr>
              <w:pStyle w:val="Compact"/>
            </w:pPr>
          </w:p>
        </w:tc>
      </w:tr>
      <w:tr>
        <w:tc>
          <w:tcPr/>
          <w:p>
            <w:pPr>
              <w:pStyle w:val="Compact"/>
              <w:jc w:val="left"/>
            </w:pPr>
            <w:r>
              <w:t xml:space="preserve">A</w:t>
            </w:r>
          </w:p>
        </w:tc>
        <w:tc>
          <w:tcPr/>
          <w:p>
            <w:pPr>
              <w:pStyle w:val="Compact"/>
              <w:jc w:val="left"/>
            </w:pPr>
            <w:r>
              <w:t xml:space="preserve">Definición de solución de los proyectos de la hoja de ruta E-Service por implementar</w:t>
            </w:r>
          </w:p>
        </w:tc>
        <w:tc>
          <w:tcPr/>
          <w:p>
            <w:pPr>
              <w:pStyle w:val="Compact"/>
            </w:pPr>
          </w:p>
        </w:tc>
      </w:tr>
      <w:tr>
        <w:tc>
          <w:tcPr/>
          <w:p>
            <w:pPr>
              <w:pStyle w:val="Compact"/>
            </w:pPr>
          </w:p>
        </w:tc>
        <w:tc>
          <w:tcPr/>
          <w:p>
            <w:pPr>
              <w:pStyle w:val="Compact"/>
              <w:jc w:val="left"/>
            </w:pPr>
            <w:r>
              <w:t xml:space="preserve">Planificación de las actividades e hitos de los proyectos de la hoja de ruta E-Service</w:t>
            </w:r>
          </w:p>
        </w:tc>
        <w:tc>
          <w:tcPr/>
          <w:p>
            <w:pPr>
              <w:pStyle w:val="Compact"/>
            </w:pPr>
          </w:p>
        </w:tc>
      </w:tr>
      <w:tr>
        <w:tc>
          <w:tcPr/>
          <w:p>
            <w:pPr>
              <w:pStyle w:val="Compact"/>
            </w:pPr>
          </w:p>
        </w:tc>
        <w:tc>
          <w:tcPr/>
          <w:p>
            <w:pPr>
              <w:pStyle w:val="Compact"/>
              <w:jc w:val="left"/>
            </w:pPr>
            <w:r>
              <w:t xml:space="preserve">Alistamiento de ejecución de los proyectos de la hoja de ruta por implementar: recursos y equipo de trabajo</w:t>
            </w:r>
          </w:p>
        </w:tc>
        <w:tc>
          <w:tcPr/>
          <w:p>
            <w:pPr>
              <w:pStyle w:val="Compact"/>
            </w:pPr>
          </w:p>
        </w:tc>
      </w:tr>
      <w:tr>
        <w:tc>
          <w:tcPr/>
          <w:p>
            <w:pPr>
              <w:pStyle w:val="Compact"/>
            </w:pPr>
          </w:p>
        </w:tc>
        <w:tc>
          <w:tcPr/>
          <w:p>
            <w:pPr>
              <w:pStyle w:val="Compact"/>
              <w:jc w:val="left"/>
            </w:pPr>
            <w:r>
              <w:t xml:space="preserve">Aprobación de inicio de los proyectos de la hoja de ruta</w:t>
            </w:r>
          </w:p>
        </w:tc>
        <w:tc>
          <w:tcPr/>
          <w:p>
            <w:pPr>
              <w:pStyle w:val="Compact"/>
            </w:pPr>
          </w:p>
        </w:tc>
      </w:tr>
    </w:tbl>
    <w:p>
      <w:pPr>
        <w:pStyle w:val="Textoindependiente"/>
      </w:pPr>
    </w:p>
    <w:bookmarkEnd w:id="72"/>
    <w:bookmarkStart w:id="74" w:name="referencias"/>
    <w:p>
      <w:pPr>
        <w:pStyle w:val="Ttulo2"/>
      </w:pPr>
      <w:r>
        <w:t xml:space="preserve">Referencias</w:t>
      </w:r>
    </w:p>
    <w:bookmarkStart w:id="73" w:name="refs"/>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dc18380072b883ba3db138aace2ab77d2143378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c18380072b883ba3db138aace2ab77d2143378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6" Target="https://github.com/hwong23/fna-dd-f2-pry1/issues" TargetMode="External" /><Relationship Type="http://schemas.openxmlformats.org/officeDocument/2006/relationships/hyperlink" Id="rId21" Target="https://github.com/hwong23/fna-dd-f2-pry1/tree/dc18380072b883ba3db138aace2ab77d2143378d"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c18380072b883ba3db138aace2ab77d2143378d/"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2023-06-01T17:38:44Z</dcterms:created>
  <dcterms:modified xsi:type="dcterms:W3CDTF">2023-06-01T17:38:44Z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