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70.jpg" ContentType="image/jpeg"/>
  <Override PartName="/word/media/rId49.png" ContentType="image/png"/>
  <Override PartName="/word/media/rId52.png" ContentType="image/png"/>
  <Override PartName="/word/media/rId37.jpg" ContentType="image/jpeg"/>
  <Override PartName="/word/media/rId56.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STEF@dffcbbf</w:t>
        </w:r>
      </w:hyperlink>
      <w:r>
        <w:t xml:space="preserve"> </w:t>
      </w:r>
      <w:r>
        <w:t xml:space="preserve">del June 5, 2023.</w:t>
      </w:r>
      <w:r>
        <w:t xml:space="preserve"> </w:t>
      </w:r>
    </w:p>
    <w:p>
      <w:pPr>
        <w:pStyle w:val="Textoindependiente"/>
      </w:pPr>
      <w:r>
        <w:t xml:space="preserve">   </w:t>
      </w:r>
      <w:r>
        <w:rPr>
          <w:bCs/>
          <w:b/>
        </w:rPr>
        <w:t xml:space="preserve">Versión</w:t>
      </w:r>
      <w:r>
        <w:t xml:space="preserve"> </w:t>
      </w:r>
      <w:r>
        <w:t xml:space="preserve">del producto 1.dffcbbf del 05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1.dffcbbf del 05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05 Jun 2023</w:t>
      </w:r>
    </w:p>
    <w:p>
      <w:pPr>
        <w:pStyle w:val="Textodebloque"/>
      </w:pPr>
      <w:r>
        <w:rPr>
          <w:bCs/>
          <w:b/>
        </w:rPr>
        <w:t xml:space="preserve">Versión</w:t>
      </w:r>
      <w:r>
        <w:t xml:space="preserve"> </w:t>
      </w:r>
      <w:r>
        <w:t xml:space="preserve">1.dffcbbf</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arquitectura y flujos críticos de trabajo sujetos al gobierno SOA</w:t>
      </w:r>
    </w:p>
    <w:p>
      <w:pPr>
        <w:numPr>
          <w:ilvl w:val="0"/>
          <w:numId w:val="1003"/>
        </w:numPr>
        <w:pStyle w:val="Compact"/>
      </w:pPr>
      <w:r>
        <w:t xml:space="preserve">Descripción de los ítems del segmento de la empresa del proyecto 1 (PRY01), gobierno SOA FNA</w:t>
      </w:r>
    </w:p>
    <w:p>
      <w:pPr>
        <w:pStyle w:val="FirstParagraph"/>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1.dffcbbf del 05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r>
              <w:t xml:space="preserve">;</w:t>
            </w:r>
          </w:p>
        </w:tc>
      </w:tr>
      <w:tr>
        <w:tc>
          <w:tcPr/>
          <w:p>
            <w:pPr>
              <w:pStyle w:val="Compact"/>
              <w:jc w:val="left"/>
            </w:pPr>
            <w:hyperlink r:id="rId34">
              <w:r>
                <w:rPr>
                  <w:rStyle w:val="Hipervnculo"/>
                </w:rPr>
                <w:t xml:space="preserve">N003a. Procesos de Negocio FNA</w:t>
              </w:r>
            </w:hyperlink>
          </w:p>
        </w:tc>
        <w:tc>
          <w:tcPr/>
          <w:p>
            <w:pPr>
              <w:pStyle w:val="Compact"/>
            </w:pPr>
          </w:p>
        </w:tc>
      </w:tr>
    </w:tbl>
    <w:p>
      <w:pPr>
        <w:pStyle w:val="Textoindependiente"/>
      </w:pPr>
    </w:p>
    <w:bookmarkEnd w:id="35"/>
    <w:bookmarkEnd w:id="36"/>
    <w:bookmarkStart w:id="61" w:name="Xfec879a391e4be25250b3f76a221c11ca8d002a"/>
    <w:p>
      <w:pPr>
        <w:pStyle w:val="Ttulo1"/>
      </w:pPr>
      <w:r>
        <w:t xml:space="preserve">Vista de Contexto Fase II, E-Service, 2023 (181-2020)</w:t>
      </w:r>
    </w:p>
    <w:bookmarkStart w:id="42"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40"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bookmarkEnd w:id="40"/>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41">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beneficiarios del FNA</w:t>
      </w:r>
    </w:p>
    <w:p>
      <w:pPr>
        <w:numPr>
          <w:ilvl w:val="0"/>
          <w:numId w:val="1006"/>
        </w:numPr>
        <w:pStyle w:val="Compact"/>
      </w:pPr>
      <w:r>
        <w:t xml:space="preserve">Solución de problemas complejos a través de la arquitectura</w:t>
      </w:r>
    </w:p>
    <w:p>
      <w:pPr>
        <w:numPr>
          <w:ilvl w:val="0"/>
          <w:numId w:val="1006"/>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43"/>
    <w:bookmarkStart w:id="44"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 </w:t>
      </w:r>
    </w:p>
    <w:p>
      <w:pPr>
        <w:pStyle w:val="FirstParagraph"/>
      </w:pPr>
    </w:p>
    <w:bookmarkEnd w:id="44"/>
    <w:bookmarkStart w:id="45"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1.dffcbbf del 05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r>
              <w:t xml:space="preserve">,</w:t>
            </w:r>
            <w:r>
              <w:t xml:space="preserve"> </w:t>
            </w:r>
            <w:hyperlink r:id="rId34">
              <w:r>
                <w:rPr>
                  <w:rStyle w:val="Hipervnculo"/>
                </w:rPr>
                <w:t xml:space="preserve">Resultados y métricas del diagnóstico de madurez SOA</w:t>
              </w:r>
            </w:hyperlink>
          </w:p>
        </w:tc>
      </w:tr>
    </w:tbl>
    <w:p>
      <w:pPr>
        <w:pStyle w:val="Textoindependiente"/>
      </w:pPr>
    </w:p>
    <w:bookmarkEnd w:id="46"/>
    <w:bookmarkEnd w:id="47"/>
    <w:bookmarkStart w:id="60"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8"/>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50" name="Picture"/>
            <a:graphic>
              <a:graphicData uri="http://schemas.openxmlformats.org/drawingml/2006/picture">
                <pic:pic>
                  <pic:nvPicPr>
                    <pic:cNvPr descr="images/madurezInfo.png" id="51" name="Picture"/>
                    <pic:cNvPicPr>
                      <a:picLocks noChangeArrowheads="1" noChangeAspect="1"/>
                    </pic:cNvPicPr>
                  </pic:nvPicPr>
                  <pic:blipFill>
                    <a:blip r:embed="rId49"/>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3efbc66a-be14-40b1-bbce-eccb143bdda4"/>
    <w:p>
      <w:pPr>
        <w:pStyle w:val="CaptionedFigure"/>
      </w:pPr>
      <w:bookmarkStart w:id="55" w:name="fig:"/>
      <w:r>
        <w:drawing>
          <wp:inline>
            <wp:extent cx="5600700" cy="4232267"/>
            <wp:effectExtent b="0" l="0" r="0" t="0"/>
            <wp:docPr descr="Imagen 2: Resultados y métricas del diagnóstico de madurez SOA. Todos los dominios." title="" id="53" name="Picture"/>
            <a:graphic>
              <a:graphicData uri="http://schemas.openxmlformats.org/drawingml/2006/picture">
                <pic:pic>
                  <pic:nvPicPr>
                    <pic:cNvPr descr="images/madurezInfo_graf.png" id="54" name="Picture"/>
                    <pic:cNvPicPr>
                      <a:picLocks noChangeArrowheads="1" noChangeAspect="1"/>
                    </pic:cNvPicPr>
                  </pic:nvPicPr>
                  <pic:blipFill>
                    <a:blip r:embed="rId52"/>
                    <a:stretch>
                      <a:fillRect/>
                    </a:stretch>
                  </pic:blipFill>
                  <pic:spPr bwMode="auto">
                    <a:xfrm>
                      <a:off x="0" y="0"/>
                      <a:ext cx="5600700" cy="4232267"/>
                    </a:xfrm>
                    <a:prstGeom prst="rect">
                      <a:avLst/>
                    </a:prstGeom>
                    <a:noFill/>
                    <a:ln w="9525">
                      <a:noFill/>
                      <a:headEnd/>
                      <a:tailEnd/>
                    </a:ln>
                  </pic:spPr>
                </pic:pic>
              </a:graphicData>
            </a:graphic>
          </wp:inline>
        </w:drawing>
      </w:r>
      <w:bookmarkEnd w:id="55"/>
    </w:p>
    <w:p>
      <w:pPr>
        <w:pStyle w:val="ImageCaption"/>
      </w:pPr>
      <w:r>
        <w:t xml:space="preserve">Imagen 2: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bookmarkStart w:id="0" w:name="fig:f1bbda57-ce62-4118-b368-dd0fb7c26506"/>
    <w:p>
      <w:pPr>
        <w:pStyle w:val="CaptionedFigure"/>
      </w:pPr>
      <w:bookmarkStart w:id="59" w:name="fig:"/>
      <w:r>
        <w:drawing>
          <wp:inline>
            <wp:extent cx="5600700" cy="5701722"/>
            <wp:effectExtent b="0" l="0" r="0" t="0"/>
            <wp:docPr descr="Imagen 3: Capacidades de negocio FNA que el gobierno SOA del FNA, objeto de este proyecto, busca impactar." title="" id="57" name="Picture"/>
            <a:graphic>
              <a:graphicData uri="http://schemas.openxmlformats.org/drawingml/2006/picture">
                <pic:pic>
                  <pic:nvPicPr>
                    <pic:cNvPr descr="images/vistacapacidadesfna.jpg" id="58" name="Picture"/>
                    <pic:cNvPicPr>
                      <a:picLocks noChangeArrowheads="1" noChangeAspect="1"/>
                    </pic:cNvPicPr>
                  </pic:nvPicPr>
                  <pic:blipFill>
                    <a:blip r:embed="rId56"/>
                    <a:stretch>
                      <a:fillRect/>
                    </a:stretch>
                  </pic:blipFill>
                  <pic:spPr bwMode="auto">
                    <a:xfrm>
                      <a:off x="0" y="0"/>
                      <a:ext cx="5600700" cy="5701722"/>
                    </a:xfrm>
                    <a:prstGeom prst="rect">
                      <a:avLst/>
                    </a:prstGeom>
                    <a:noFill/>
                    <a:ln w="9525">
                      <a:noFill/>
                      <a:headEnd/>
                      <a:tailEnd/>
                    </a:ln>
                  </pic:spPr>
                </pic:pic>
              </a:graphicData>
            </a:graphic>
          </wp:inline>
        </w:drawing>
      </w:r>
      <w:bookmarkEnd w:id="59"/>
    </w:p>
    <w:p>
      <w:pPr>
        <w:pStyle w:val="ImageCaption"/>
      </w:pPr>
      <w:r>
        <w:t xml:space="preserve">Imagen 3: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1.dffcbbf del 05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60"/>
    <w:bookmarkEnd w:id="61"/>
    <w:bookmarkStart w:id="89" w:name="X1fdd0a35b227ad61fc07790ee356b5036d6a9a1"/>
    <w:p>
      <w:pPr>
        <w:pStyle w:val="Ttulo1"/>
      </w:pPr>
      <w:r>
        <w:t xml:space="preserve">Flujos Críticos Susceptibles de Gobierno FNA</w:t>
      </w:r>
    </w:p>
    <w:p>
      <w:pPr>
        <w:pStyle w:val="FirstParagraph"/>
      </w:pPr>
      <w:r>
        <w:t xml:space="preserve">Los flujos críticos proporcionan información dos tipos de información valiosa: la manera en que funcionan las cosas dentro del FNA, y qué las causas y debilidades de estas.</w:t>
      </w:r>
    </w:p>
    <w:p>
      <w:pPr>
        <w:pStyle w:val="Textoindependiente"/>
      </w:pPr>
    </w:p>
    <w:bookmarkStart w:id="62" w:name="X2f41d53f0866c39cc0fc210fff28f9fdf41f0d5"/>
    <w:p>
      <w:pPr>
        <w:pStyle w:val="Ttulo2"/>
      </w:pPr>
      <w:r>
        <w:t xml:space="preserve">Plantilla de Realización del Flujo Crítico</w:t>
      </w:r>
    </w:p>
    <w:p>
      <w:pPr>
        <w:pStyle w:val="FirstParagraph"/>
      </w:pPr>
      <w:r>
        <w:t xml:space="preserve">Para facilitar la recolección de los flujos críticos, presentamos la siguiente plantilla personalizada para el FNA.</w:t>
      </w:r>
    </w:p>
    <w:p>
      <w:pPr>
        <w:numPr>
          <w:ilvl w:val="0"/>
          <w:numId w:val="1008"/>
        </w:numPr>
        <w:pStyle w:val="Compact"/>
      </w:pPr>
      <w:r>
        <w:t xml:space="preserve">Encabezado: describir el dueño del flujo.</w:t>
      </w:r>
    </w:p>
    <w:p>
      <w:pPr>
        <w:numPr>
          <w:ilvl w:val="0"/>
          <w:numId w:val="1008"/>
        </w:numPr>
        <w:pStyle w:val="Compact"/>
      </w:pPr>
      <w:r>
        <w:t xml:space="preserve">Atención: cómo o dónde inicia el flujo.</w:t>
      </w:r>
    </w:p>
    <w:p>
      <w:pPr>
        <w:numPr>
          <w:ilvl w:val="0"/>
          <w:numId w:val="1008"/>
        </w:numPr>
        <w:pStyle w:val="Compact"/>
      </w:pPr>
      <w:r>
        <w:t xml:space="preserve">Petición: registro de la petición.</w:t>
      </w:r>
    </w:p>
    <w:p>
      <w:pPr>
        <w:numPr>
          <w:ilvl w:val="0"/>
          <w:numId w:val="1008"/>
        </w:numPr>
        <w:pStyle w:val="Compact"/>
      </w:pPr>
      <w:r>
        <w:t xml:space="preserve">Arquitectura: pasos del flujo en los que participa el arquitecto.</w:t>
      </w:r>
    </w:p>
    <w:p>
      <w:pPr>
        <w:numPr>
          <w:ilvl w:val="0"/>
          <w:numId w:val="1008"/>
        </w:numPr>
        <w:pStyle w:val="Compact"/>
      </w:pPr>
      <w:r>
        <w:t xml:space="preserve">Valor: valor que este flujo genera para el FNA.</w:t>
      </w:r>
    </w:p>
    <w:p>
      <w:pPr>
        <w:numPr>
          <w:ilvl w:val="0"/>
          <w:numId w:val="1008"/>
        </w:numPr>
        <w:pStyle w:val="Compact"/>
      </w:pPr>
      <w:r>
        <w:t xml:space="preserve">Seguimiento: validación de la generación de valor.</w:t>
      </w:r>
    </w:p>
    <w:p>
      <w:pPr>
        <w:numPr>
          <w:ilvl w:val="0"/>
          <w:numId w:val="1008"/>
        </w:numPr>
        <w:pStyle w:val="Compact"/>
      </w:pPr>
      <w:r>
        <w:t xml:space="preserve">Entrega: entregado del resultado del flujo.</w:t>
      </w:r>
    </w:p>
    <w:p>
      <w:pPr>
        <w:numPr>
          <w:ilvl w:val="0"/>
          <w:numId w:val="1008"/>
        </w:numPr>
        <w:pStyle w:val="Compact"/>
      </w:pPr>
      <w:r>
        <w:t xml:space="preserve">Repetición: consideaciones de mejora.</w:t>
      </w:r>
    </w:p>
    <w:p>
      <w:pPr>
        <w:pStyle w:val="FirstParagraph"/>
      </w:pPr>
      <w:r>
        <w:rPr>
          <w:bCs/>
          <w:b/>
        </w:rPr>
        <w:t xml:space="preserve">Nota</w:t>
      </w:r>
      <w:r>
        <w:t xml:space="preserve">: para más información del uso y apropiación de la herramienta Flujo Crítifo de Trabajo, ver el anexo</w:t>
      </w:r>
      <w:r>
        <w:t xml:space="preserve"> </w:t>
      </w:r>
      <w:r>
        <w:rPr>
          <w:iCs/>
          <w:i/>
        </w:rPr>
        <w:t xml:space="preserve">CCF</w:t>
      </w:r>
      <w:r>
        <w:t xml:space="preserve">, más adelante.</w:t>
      </w:r>
    </w:p>
    <w:p>
      <w:pPr>
        <w:pStyle w:val="Textoindependiente"/>
      </w:pPr>
    </w:p>
    <w:bookmarkEnd w:id="62"/>
    <w:bookmarkStart w:id="75" w:name="X1f86804851e349b618cafe900a3503771ec5358"/>
    <w:p>
      <w:pPr>
        <w:pStyle w:val="Ttulo2"/>
      </w:pPr>
      <w:r>
        <w:t xml:space="preserve">CCF. Flujo Crítico Trabajo: 01. Aprobación de Cesantías FNA (biometría)</w:t>
      </w:r>
    </w:p>
    <w:p>
      <w:pPr>
        <w:pStyle w:val="FirstParagraph"/>
      </w:pPr>
      <w:r>
        <w:t xml:space="preserve">Aprobación de cesantías FNA.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Vicepresidencia de Operaciones</w:t>
            </w:r>
          </w:p>
        </w:tc>
      </w:tr>
      <w:tr>
        <w:tc>
          <w:tcPr/>
          <w:p>
            <w:pPr>
              <w:pStyle w:val="Compact"/>
              <w:jc w:val="left"/>
            </w:pPr>
            <w:r>
              <w:t xml:space="preserve">Producto/Servicio:</w:t>
            </w:r>
          </w:p>
        </w:tc>
        <w:tc>
          <w:tcPr/>
          <w:p>
            <w:pPr>
              <w:pStyle w:val="Compact"/>
              <w:jc w:val="left"/>
            </w:pPr>
            <w:r>
              <w:t xml:space="preserve">Biometria</w:t>
            </w:r>
          </w:p>
        </w:tc>
      </w:tr>
    </w:tbl>
    <w:p>
      <w:pPr>
        <w:pStyle w:val="Textoindependiente"/>
      </w:pPr>
    </w:p>
    <w:bookmarkStart w:id="63" w:name="atención"/>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p>
    <w:bookmarkEnd w:id="63"/>
    <w:bookmarkStart w:id="64" w:name="petición"/>
    <w:p>
      <w:pPr>
        <w:pStyle w:val="Ttulo3"/>
      </w:pPr>
      <w:r>
        <w:t xml:space="preserve">Petición</w:t>
      </w:r>
    </w:p>
    <w:p>
      <w:pPr>
        <w:pStyle w:val="FirstParagraph"/>
      </w:pPr>
      <w:r>
        <w:t xml:space="preserve">Los registros de biometria son entregados por el operador biometrico a traves de correo electronico al usuario lider del area</w:t>
      </w:r>
    </w:p>
    <w:bookmarkEnd w:id="64"/>
    <w:bookmarkStart w:id="65" w:name="arquitectura"/>
    <w:p>
      <w:pPr>
        <w:pStyle w:val="Ttulo3"/>
      </w:pPr>
      <w:r>
        <w:t xml:space="preserve">Arquitectura</w:t>
      </w:r>
    </w:p>
    <w:p>
      <w:pPr>
        <w:numPr>
          <w:ilvl w:val="0"/>
          <w:numId w:val="1009"/>
        </w:numPr>
        <w:pStyle w:val="Compact"/>
      </w:pPr>
      <w:r>
        <w:t xml:space="preserve">COBIS envia un ID al operador biometrico</w:t>
      </w:r>
    </w:p>
    <w:p>
      <w:pPr>
        <w:numPr>
          <w:ilvl w:val="0"/>
          <w:numId w:val="1009"/>
        </w:numPr>
        <w:pStyle w:val="Compact"/>
      </w:pPr>
      <w:r>
        <w:t xml:space="preserve">El operador biometrico responde el ID</w:t>
      </w:r>
    </w:p>
    <w:p>
      <w:pPr>
        <w:numPr>
          <w:ilvl w:val="0"/>
          <w:numId w:val="1009"/>
        </w:numPr>
        <w:pStyle w:val="Compact"/>
      </w:pPr>
      <w:r>
        <w:t xml:space="preserve">El operador levanta el servicio</w:t>
      </w:r>
    </w:p>
    <w:p>
      <w:pPr>
        <w:numPr>
          <w:ilvl w:val="0"/>
          <w:numId w:val="1009"/>
        </w:numPr>
        <w:pStyle w:val="Compact"/>
      </w:pPr>
      <w:r>
        <w:t xml:space="preserve">COBIS envía la petición de biometria</w:t>
      </w:r>
    </w:p>
    <w:p>
      <w:pPr>
        <w:numPr>
          <w:ilvl w:val="0"/>
          <w:numId w:val="1009"/>
        </w:numPr>
        <w:pStyle w:val="Compact"/>
      </w:pPr>
      <w:r>
        <w:t xml:space="preserve">El operador biometrico responde con un hit o no (hit: la persona es quien dice ser)</w:t>
      </w:r>
    </w:p>
    <w:p>
      <w:pPr>
        <w:pStyle w:val="FirstParagraph"/>
      </w:pPr>
      <w:r>
        <w:rPr>
          <w:bCs/>
          <w:b/>
        </w:rPr>
        <w:t xml:space="preserve">Notas</w:t>
      </w:r>
      <w:r>
        <w:t xml:space="preserve">: CU, escenarios y excepciones, Sistemas distribuidos y QA, Fortalecimiento de ambientes QA, Categorización complejidad, Correspondencia complejidad - diseño.</w:t>
      </w:r>
    </w:p>
    <w:bookmarkEnd w:id="65"/>
    <w:bookmarkStart w:id="66" w:name="valor"/>
    <w:p>
      <w:pPr>
        <w:pStyle w:val="Ttulo3"/>
      </w:pPr>
      <w:r>
        <w:t xml:space="preserve">Valor</w:t>
      </w:r>
    </w:p>
    <w:p>
      <w:pPr>
        <w:pStyle w:val="FirstParagraph"/>
      </w:pPr>
      <w:r>
        <w:t xml:space="preserve">El valor es alto, debido a que afecta al consumidor financiero en el retiro de las cesantias</w:t>
      </w:r>
    </w:p>
    <w:bookmarkEnd w:id="66"/>
    <w:bookmarkStart w:id="67" w:name="seguimiento"/>
    <w:p>
      <w:pPr>
        <w:pStyle w:val="Ttulo3"/>
      </w:pPr>
      <w:r>
        <w:t xml:space="preserve">Seguimiento</w:t>
      </w:r>
    </w:p>
    <w:p>
      <w:pPr>
        <w:pStyle w:val="FirstParagraph"/>
      </w:pPr>
      <w:r>
        <w:t xml:space="preserve">El seguimiento se realiza diariamente con la conciliación aplicada por el área usuaria.</w:t>
      </w:r>
    </w:p>
    <w:bookmarkEnd w:id="67"/>
    <w:bookmarkStart w:id="68" w:name="entrega"/>
    <w:p>
      <w:pPr>
        <w:pStyle w:val="Ttulo3"/>
      </w:pPr>
      <w:r>
        <w:t xml:space="preserve">Entrega</w:t>
      </w:r>
    </w:p>
    <w:p>
      <w:pPr>
        <w:pStyle w:val="FirstParagraph"/>
      </w:pPr>
      <w:r>
        <w:t xml:space="preserve">El resultado del trabajo es la implementacion de herramientas de gobierno que permitan el fortalecimiento en el diseño para la aplicacion</w:t>
      </w:r>
    </w:p>
    <w:bookmarkEnd w:id="68"/>
    <w:bookmarkStart w:id="69" w:name="repetición"/>
    <w:p>
      <w:pPr>
        <w:pStyle w:val="Ttulo3"/>
      </w:pPr>
      <w:r>
        <w:t xml:space="preserve">Repetición</w:t>
      </w:r>
    </w:p>
    <w:p>
      <w:pPr>
        <w:pStyle w:val="FirstParagraph"/>
      </w:pPr>
      <w:r>
        <w:t xml:space="preserve">Implementar un buen diseño en la aplicacion y malla de calidad en la pruebas.</w:t>
      </w:r>
    </w:p>
    <w:bookmarkEnd w:id="69"/>
    <w:bookmarkStart w:id="74" w:name="anexo.-diagrama-del-flujo"/>
    <w:p>
      <w:pPr>
        <w:pStyle w:val="Ttulo3"/>
      </w:pPr>
      <w:r>
        <w:t xml:space="preserve">Anexo. Diagrama del flujo</w:t>
      </w:r>
    </w:p>
    <w:p>
      <w:pPr>
        <w:pStyle w:val="Figure"/>
      </w:pPr>
      <w:r>
        <w:drawing>
          <wp:inline>
            <wp:extent cx="5600700" cy="2725436"/>
            <wp:effectExtent b="0" l="0" r="0" t="0"/>
            <wp:docPr descr="" title="" id="71" name="Picture"/>
            <a:graphic>
              <a:graphicData uri="http://schemas.openxmlformats.org/drawingml/2006/picture">
                <pic:pic>
                  <pic:nvPicPr>
                    <pic:cNvPr descr="images/flujoBiometriafna.jpg" id="72" name="Picture"/>
                    <pic:cNvPicPr>
                      <a:picLocks noChangeArrowheads="1" noChangeAspect="1"/>
                    </pic:cNvPicPr>
                  </pic:nvPicPr>
                  <pic:blipFill>
                    <a:blip r:embed="rId70"/>
                    <a:stretch>
                      <a:fillRect/>
                    </a:stretch>
                  </pic:blipFill>
                  <pic:spPr bwMode="auto">
                    <a:xfrm>
                      <a:off x="0" y="0"/>
                      <a:ext cx="5600700" cy="2725436"/>
                    </a:xfrm>
                    <a:prstGeom prst="rect">
                      <a:avLst/>
                    </a:prstGeom>
                    <a:noFill/>
                    <a:ln w="9525">
                      <a:noFill/>
                      <a:headEnd/>
                      <a:tailEnd/>
                    </a:ln>
                  </pic:spPr>
                </pic:pic>
              </a:graphicData>
            </a:graphic>
          </wp:inline>
        </w:drawing>
      </w:r>
    </w:p>
    <w:p>
      <w:pPr>
        <w:pStyle w:val="FirstParagraph"/>
      </w:pPr>
      <w:hyperlink r:id="rId73">
        <w:r>
          <w:rPr>
            <w:rStyle w:val="Hipervnculo"/>
          </w:rPr>
          <w:t xml:space="preserve">Imagen.</w:t>
        </w:r>
      </w:hyperlink>
      <w:r>
        <w:t xml:space="preserve"> </w:t>
      </w:r>
      <w:r>
        <w:t xml:space="preserve">Flujo de trabajo crítico, aprobación de censatía con biometría FNA, para el análisis de las fortalezas, debilidades, y otras consideraciones de gobierno SOA del FNA.</w:t>
      </w:r>
    </w:p>
    <w:p>
      <w:pPr>
        <w:pStyle w:val="Textoindependiente"/>
      </w:pPr>
      <w:r>
        <w:rPr>
          <w:iCs/>
          <w:i/>
        </w:rPr>
        <w:t xml:space="preserve">Fuente: elaboración propia.</w:t>
      </w:r>
    </w:p>
    <w:p>
      <w:pPr>
        <w:pStyle w:val="Textoindependiente"/>
      </w:pPr>
    </w:p>
    <w:bookmarkEnd w:id="74"/>
    <w:bookmarkEnd w:id="75"/>
    <w:bookmarkStart w:id="79" w:name="X90697f6e3527c2c0cd9facf2e788b46da8b14dd"/>
    <w:p>
      <w:pPr>
        <w:pStyle w:val="Ttulo2"/>
      </w:pPr>
      <w:r>
        <w:t xml:space="preserve">Análisis CCF01 Aprobación de Cesantías (biometría)</w:t>
      </w:r>
    </w:p>
    <w:p>
      <w:pPr>
        <w:pStyle w:val="FirstParagraph"/>
      </w:pPr>
      <w:r>
        <w:t xml:space="preserve">Listamos a continuación las características del flujo de aprobación de cesantías del FNA encontradas desde la perspectiva de gobierno SOA y de las arquitecturas del FNA.</w:t>
      </w:r>
    </w:p>
    <w:p>
      <w:pPr>
        <w:pStyle w:val="Textoindependiente"/>
      </w:pPr>
      <w:r>
        <w:t xml:space="preserve">Características del flujo de aprobación de cesantía del FNA.</w:t>
      </w:r>
    </w:p>
    <w:bookmarkStart w:id="76" w:name="debilidad-en-la-completitud-de-los-cu"/>
    <w:p>
      <w:pPr>
        <w:pStyle w:val="Ttulo3"/>
      </w:pPr>
      <w:r>
        <w:t xml:space="preserve">Debilidad en la Completitud de los CU</w:t>
      </w:r>
    </w:p>
    <w:p>
      <w:pPr>
        <w:pStyle w:val="FirstParagraph"/>
      </w:pPr>
      <w:r>
        <w:t xml:space="preserve">Denota debilidad en la gestión de los casos de uso (CU)del FNA. En particular, con la exhaustividad de lo(s) caso(s). El flujo tal como está, al momento de esta identificación, da razón de la falta de inclusión de variantes que pueda tomar la aprobación. Es decir, el CU no contenpla la cantidad de escenarios, caminos alternos, y excepciones que le den al caso el nivel de exhaustividad que la complejidad de la aprobación de las cesantía demanda..</w:t>
      </w:r>
    </w:p>
    <w:p>
      <w:pPr>
        <w:pStyle w:val="Textoindependiente"/>
      </w:pPr>
      <w:r>
        <w:t xml:space="preserve">Sistemas distribuidos y QA, Fortalecimiento de ambientes QA, Categorización complejidad, Correspondencia complejidad - diseño.</w:t>
      </w:r>
    </w:p>
    <w:bookmarkEnd w:id="76"/>
    <w:bookmarkStart w:id="77" w:name="X9df0710487ade068c9bb95f8703e83c80573098"/>
    <w:p>
      <w:pPr>
        <w:pStyle w:val="Ttulo3"/>
      </w:pPr>
      <w:r>
        <w:t xml:space="preserve">Responsabilidades y Procedimientos (actividades)</w:t>
      </w:r>
    </w:p>
    <w:p>
      <w:pPr>
        <w:pStyle w:val="FirstParagraph"/>
      </w:pPr>
      <w:r>
        <w:t xml:space="preserve">Existen tres responsabilidades claras que participan y sostienen a este flujo. Primero, la del operador del FNA que convalida los coicidencias de petición y la ocurrencia (autenticación) del beneficiario solicitante. Segundo, la del servicio de autenticación biométrico de la huella del beneficiario, y la relación de este con la Cancillería. La del ERP COBIS es otra. Este debe registrar las transacciones de ambos extremos, del solictante y la del autenticador, para luego failitarle al primero la conciliacieon de las transacciones solicitud-aprobación.</w:t>
      </w:r>
    </w:p>
    <w:bookmarkEnd w:id="77"/>
    <w:bookmarkStart w:id="78" w:name="asignación"/>
    <w:p>
      <w:pPr>
        <w:pStyle w:val="Ttulo3"/>
      </w:pPr>
      <w:r>
        <w:t xml:space="preserve">Asignación</w:t>
      </w:r>
    </w:p>
    <w:bookmarkEnd w:id="78"/>
    <w:bookmarkEnd w:id="79"/>
    <w:bookmarkStart w:id="87" w:name="Xe049a04525558b451f1ce078de1ef1f46673f2f"/>
    <w:p>
      <w:pPr>
        <w:pStyle w:val="Ttulo2"/>
      </w:pPr>
      <w:r>
        <w:t xml:space="preserve">CCF. Flujo Crítico Trabajo: 02. Inversión TI FNA (proveedores)</w:t>
      </w:r>
    </w:p>
    <w:p>
      <w:pPr>
        <w:pStyle w:val="FirstParagraph"/>
      </w:pPr>
      <w:r>
        <w:t xml:space="preserve">Uno de los objetivos del Gobierno SOA es la evaluación de la inversión de TI del FNA. Se incluyen los riesgos técnicos de las inversiones (implementaciones) de TI.</w:t>
      </w:r>
    </w:p>
    <w:p>
      <w:pPr>
        <w:pStyle w:val="Textoindependiente"/>
      </w:pPr>
      <w:r>
        <w:rPr>
          <w:bCs/>
          <w:b/>
        </w:rPr>
        <w:t xml:space="preserve">Nota</w:t>
      </w:r>
      <w:r>
        <w:t xml:space="preserve">: una forma de evaluar las inversiones de TI es mediante el parámetro de efectividad de la inversiones, entendido como la relación de la utilidad percibida, que puede cuantitativa o no, y los costos y esfuerzos en los que incurrió.</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Gerencia de Tecnología FNA</w:t>
            </w:r>
          </w:p>
        </w:tc>
      </w:tr>
      <w:tr>
        <w:tc>
          <w:tcPr/>
          <w:p>
            <w:pPr>
              <w:pStyle w:val="Compact"/>
              <w:jc w:val="left"/>
            </w:pPr>
            <w:r>
              <w:t xml:space="preserve">Producto/Servicio:</w:t>
            </w:r>
          </w:p>
        </w:tc>
        <w:tc>
          <w:tcPr/>
          <w:p>
            <w:pPr>
              <w:pStyle w:val="Compact"/>
              <w:jc w:val="left"/>
            </w:pPr>
            <w:r>
              <w:t xml:space="preserve">Inversión TI</w:t>
            </w:r>
          </w:p>
        </w:tc>
      </w:tr>
    </w:tbl>
    <w:p>
      <w:pPr>
        <w:pStyle w:val="Textoindependiente"/>
      </w:pPr>
    </w:p>
    <w:bookmarkStart w:id="80" w:name="atención-1"/>
    <w:p>
      <w:pPr>
        <w:pStyle w:val="Ttulo3"/>
      </w:pPr>
      <w:r>
        <w:t xml:space="preserve">Atención</w:t>
      </w:r>
    </w:p>
    <w:p>
      <w:pPr>
        <w:pStyle w:val="FirstParagraph"/>
      </w:pPr>
      <w:r>
        <w:t xml:space="preserve">Estudios internos o consultorías sirve de justificación para la planeacieon de una posible inversión de TI.</w:t>
      </w:r>
    </w:p>
    <w:bookmarkEnd w:id="80"/>
    <w:bookmarkStart w:id="81" w:name="petición-1"/>
    <w:p>
      <w:pPr>
        <w:pStyle w:val="Ttulo3"/>
      </w:pPr>
      <w:r>
        <w:t xml:space="preserve">Petición</w:t>
      </w:r>
    </w:p>
    <w:p>
      <w:pPr>
        <w:pStyle w:val="FirstParagraph"/>
      </w:pPr>
      <w:r>
        <w:t xml:space="preserve">Diligencia el formato de la necesidad al grupo de contratacion, y radicar la solicitud a contratacion. Registro en SECOP(2) el procesos publico y finalmente queda la minuta del contrato.</w:t>
      </w:r>
    </w:p>
    <w:bookmarkEnd w:id="81"/>
    <w:bookmarkStart w:id="82" w:name="arquitectura-1"/>
    <w:p>
      <w:pPr>
        <w:pStyle w:val="Ttulo3"/>
      </w:pPr>
      <w:r>
        <w:t xml:space="preserve">Arquitectura</w:t>
      </w:r>
    </w:p>
    <w:p>
      <w:pPr>
        <w:numPr>
          <w:ilvl w:val="0"/>
          <w:numId w:val="1010"/>
        </w:numPr>
        <w:pStyle w:val="Compact"/>
      </w:pPr>
      <w:r>
        <w:t xml:space="preserve">Implementa la solucion en produccion</w:t>
      </w:r>
    </w:p>
    <w:p>
      <w:pPr>
        <w:numPr>
          <w:ilvl w:val="0"/>
          <w:numId w:val="1010"/>
        </w:numPr>
        <w:pStyle w:val="Compact"/>
      </w:pPr>
      <w:r>
        <w:t xml:space="preserve">Entrega la operacion al grupo de soporte para gestion del dia a dia</w:t>
      </w:r>
    </w:p>
    <w:p>
      <w:pPr>
        <w:numPr>
          <w:ilvl w:val="0"/>
          <w:numId w:val="1010"/>
        </w:numPr>
        <w:pStyle w:val="Compact"/>
      </w:pPr>
      <w:r>
        <w:t xml:space="preserve">Cada fábrica tiene un grupo de soporte y mantenimiento para soportes e incidencias y otro para desarollo y nuevas funcionalidades.</w:t>
      </w:r>
    </w:p>
    <w:p>
      <w:pPr>
        <w:pStyle w:val="FirstParagraph"/>
      </w:pPr>
      <w:r>
        <w:rPr>
          <w:bCs/>
          <w:b/>
        </w:rPr>
        <w:t xml:space="preserve">Notas</w:t>
      </w:r>
      <w:r>
        <w:t xml:space="preserve">: Procedimiento evaluación de inversión, Cálculo eficacia de inversión, Confiabilidad de las entregas de proveedores, Responsables gestión de la inversión.</w:t>
      </w:r>
    </w:p>
    <w:bookmarkEnd w:id="82"/>
    <w:bookmarkStart w:id="83" w:name="valor-1"/>
    <w:p>
      <w:pPr>
        <w:pStyle w:val="Ttulo3"/>
      </w:pPr>
      <w:r>
        <w:t xml:space="preserve">Valor</w:t>
      </w:r>
    </w:p>
    <w:p>
      <w:pPr>
        <w:pStyle w:val="FirstParagraph"/>
      </w:pPr>
      <w:r>
        <w:t xml:space="preserve">No determinado. Al momento de la realización de este flujo no encontramos el procedimiento o instrumento, o persona que calcula del valor retornado de la inversión de TI al FNA.</w:t>
      </w:r>
    </w:p>
    <w:bookmarkEnd w:id="83"/>
    <w:bookmarkStart w:id="84" w:name="seguimiento-1"/>
    <w:p>
      <w:pPr>
        <w:pStyle w:val="Ttulo3"/>
      </w:pPr>
      <w:r>
        <w:t xml:space="preserve">Seguimiento</w:t>
      </w:r>
    </w:p>
    <w:p>
      <w:pPr>
        <w:pStyle w:val="FirstParagraph"/>
      </w:pPr>
      <w:r>
        <w:t xml:space="preserve">No determinado. Al momento de la realización de este flujo no encontramos el procedimiento o instrumento, o persona que calcula del valor retornado de la inversión de TI al FNA.</w:t>
      </w:r>
    </w:p>
    <w:bookmarkEnd w:id="84"/>
    <w:bookmarkStart w:id="85" w:name="entrega-1"/>
    <w:p>
      <w:pPr>
        <w:pStyle w:val="Ttulo3"/>
      </w:pPr>
      <w:r>
        <w:t xml:space="preserve">Entrega</w:t>
      </w:r>
    </w:p>
    <w:p>
      <w:pPr>
        <w:pStyle w:val="FirstParagraph"/>
      </w:pPr>
      <w:r>
        <w:t xml:space="preserve">Una vez realizada la implementa de la inversión TI, la solucion en produccion es entregada en operacion al grupo de soporte del FNA.</w:t>
      </w:r>
    </w:p>
    <w:bookmarkEnd w:id="85"/>
    <w:bookmarkStart w:id="86" w:name="repetición-1"/>
    <w:p>
      <w:pPr>
        <w:pStyle w:val="Ttulo3"/>
      </w:pPr>
      <w:r>
        <w:t xml:space="preserve">Repetición</w:t>
      </w:r>
    </w:p>
    <w:p>
      <w:pPr>
        <w:pStyle w:val="FirstParagraph"/>
      </w:pPr>
      <w:r>
        <w:t xml:space="preserve">El flujo es repetible en virtud de la Ley 80.</w:t>
      </w:r>
    </w:p>
    <w:bookmarkEnd w:id="86"/>
    <w:bookmarkEnd w:id="87"/>
    <w:bookmarkStart w:id="88" w:name="análisis-ccf02-inversión-ti"/>
    <w:p>
      <w:pPr>
        <w:pStyle w:val="Ttulo2"/>
      </w:pPr>
      <w:r>
        <w:t xml:space="preserve">Análisis CCF02 Inversión TI</w:t>
      </w:r>
    </w:p>
    <w:p>
      <w:pPr>
        <w:pStyle w:val="FirstParagraph"/>
      </w:pPr>
      <w:r>
        <w:rPr>
          <w:bCs/>
          <w:b/>
        </w:rPr>
        <w:t xml:space="preserve">Notas</w:t>
      </w:r>
      <w:r>
        <w:t xml:space="preserve">: Procedimiento evaluación de inversión, Cálculo eficacia de inversión, Confiabilidad de las entregas de proveedores, Responsables gestión de la inversión.</w:t>
      </w:r>
    </w:p>
    <w:p>
      <w:r>
        <w:pict>
          <v:rect style="width:0;height:1.5pt" o:hralign="center" o:hrstd="t" o:hr="t"/>
        </w:pict>
      </w:r>
    </w:p>
    <w:bookmarkEnd w:id="88"/>
    <w:bookmarkEnd w:id="89"/>
    <w:bookmarkStart w:id="107" w:name="anexos-del-producto-1-pr01"/>
    <w:p>
      <w:pPr>
        <w:pStyle w:val="Ttulo1"/>
      </w:pPr>
      <w:r>
        <w:t xml:space="preserve">Anexos del Producto 1 (PR01)</w:t>
      </w:r>
    </w:p>
    <w:bookmarkStart w:id="92" w:name="vista-de-segmento-del-proyecto"/>
    <w:p>
      <w:pPr>
        <w:pStyle w:val="Ttulo2"/>
      </w:pPr>
      <w:r>
        <w:t xml:space="preserve">1. Vista de Segmento del Proyecto</w:t>
      </w:r>
    </w:p>
    <w:p>
      <w:pPr>
        <w:pStyle w:val="Figure"/>
      </w:pPr>
      <w:r>
        <w:drawing>
          <wp:inline>
            <wp:extent cx="5600700" cy="6506407"/>
            <wp:effectExtent b="0" l="0" r="0" t="0"/>
            <wp:docPr descr="" title="" id="90" name="Picture"/>
            <a:graphic>
              <a:graphicData uri="http://schemas.openxmlformats.org/drawingml/2006/picture">
                <pic:pic>
                  <pic:nvPicPr>
                    <pic:cNvPr descr="images/segmentoFNAfaseII.jpg" id="91"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73">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92"/>
    <w:bookmarkStart w:id="93"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p>
      <w:pPr>
        <w:pStyle w:val="Textoindependiente"/>
      </w:pPr>
    </w:p>
    <w:bookmarkEnd w:id="93"/>
    <w:bookmarkStart w:id="94"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bookmarkEnd w:id="94"/>
    <w:bookmarkStart w:id="102" w:name="herramienta-ccf"/>
    <w:p>
      <w:pPr>
        <w:pStyle w:val="Ttulo2"/>
      </w:pPr>
      <w:r>
        <w:t xml:space="preserve">4. Herramienta CCF</w:t>
      </w:r>
    </w:p>
    <w:p>
      <w:pPr>
        <w:pStyle w:val="FirstParagraph"/>
      </w:pPr>
      <w:r>
        <w:t xml:space="preserve">Herramienta para la creación de un flujo crítico de trabajo. Estos flujos son usados para el procedo de diseño de gobierno SOA del FNA.</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95" w:name="atención-2"/>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95"/>
    <w:bookmarkStart w:id="96" w:name="petición-2"/>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96"/>
    <w:bookmarkStart w:id="97" w:name="arquitectura-2"/>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p>
    <w:p>
      <w:pPr>
        <w:numPr>
          <w:ilvl w:val="0"/>
          <w:numId w:val="1011"/>
        </w:numPr>
        <w:pStyle w:val="Compact"/>
      </w:pPr>
      <w:r>
        <w:t xml:space="preserve">paso 1</w:t>
      </w:r>
    </w:p>
    <w:p>
      <w:pPr>
        <w:numPr>
          <w:ilvl w:val="0"/>
          <w:numId w:val="1011"/>
        </w:numPr>
        <w:pStyle w:val="Compact"/>
      </w:pPr>
      <w:r>
        <w:t xml:space="preserve">paso 2</w:t>
      </w:r>
    </w:p>
    <w:bookmarkEnd w:id="97"/>
    <w:bookmarkStart w:id="98" w:name="valor-2"/>
    <w:p>
      <w:pPr>
        <w:pStyle w:val="Ttulo3"/>
      </w:pPr>
      <w:r>
        <w:t xml:space="preserve">Valor</w:t>
      </w:r>
    </w:p>
    <w:p>
      <w:pPr>
        <w:pStyle w:val="FirstParagraph"/>
      </w:pPr>
      <w:r>
        <w:rPr>
          <w:iCs/>
          <w:i/>
        </w:rPr>
        <w:t xml:space="preserve">Guía: cuál es el valor que este flujo genera para el FNA.</w:t>
      </w:r>
    </w:p>
    <w:bookmarkEnd w:id="98"/>
    <w:bookmarkStart w:id="99" w:name="seguimiento-2"/>
    <w:p>
      <w:pPr>
        <w:pStyle w:val="Ttulo3"/>
      </w:pPr>
      <w:r>
        <w:t xml:space="preserve">Seguimiento</w:t>
      </w:r>
    </w:p>
    <w:p>
      <w:pPr>
        <w:pStyle w:val="FirstParagraph"/>
      </w:pPr>
      <w:r>
        <w:rPr>
          <w:iCs/>
          <w:i/>
        </w:rPr>
        <w:t xml:space="preserve">Guía: cómo se valida que la ejecución o valor gnerado se haya llevado a cabo en dichos términos.</w:t>
      </w:r>
    </w:p>
    <w:bookmarkEnd w:id="99"/>
    <w:bookmarkStart w:id="100" w:name="entrega-2"/>
    <w:p>
      <w:pPr>
        <w:pStyle w:val="Ttulo3"/>
      </w:pPr>
      <w:r>
        <w:t xml:space="preserve">Entrega</w:t>
      </w:r>
    </w:p>
    <w:p>
      <w:pPr>
        <w:pStyle w:val="FirstParagraph"/>
      </w:pPr>
      <w:r>
        <w:rPr>
          <w:iCs/>
          <w:i/>
        </w:rPr>
        <w:t xml:space="preserve">Guía: cómo se da por entregado el resultado del trabajo al cliente objetivo que inició el flujo.</w:t>
      </w:r>
    </w:p>
    <w:bookmarkEnd w:id="100"/>
    <w:bookmarkStart w:id="101" w:name="repetición-2"/>
    <w:p>
      <w:pPr>
        <w:pStyle w:val="Ttulo3"/>
      </w:pPr>
      <w:r>
        <w:t xml:space="preserve">Repetición</w:t>
      </w:r>
    </w:p>
    <w:p>
      <w:pPr>
        <w:pStyle w:val="FirstParagraph"/>
      </w:pPr>
      <w:r>
        <w:rPr>
          <w:iCs/>
          <w:i/>
        </w:rPr>
        <w:t xml:space="preserve">Guía: qué es necesario realizar al flujo para que asegurar que el cliente objetivo quiera ejecutarlo nuevamente.</w:t>
      </w:r>
    </w:p>
    <w:p>
      <w:pPr>
        <w:pStyle w:val="Textoindependiente"/>
      </w:pPr>
    </w:p>
    <w:p>
      <w:r>
        <w:pict>
          <v:rect style="width:0;height:1.5pt" o:hralign="center" o:hrstd="t" o:hr="t"/>
        </w:pict>
      </w:r>
    </w:p>
    <w:bookmarkEnd w:id="101"/>
    <w:bookmarkEnd w:id="102"/>
    <w:bookmarkStart w:id="106" w:name="referencias"/>
    <w:p>
      <w:pPr>
        <w:pStyle w:val="Ttulo2"/>
      </w:pPr>
      <w:r>
        <w:t xml:space="preserve">Referencias</w:t>
      </w:r>
    </w:p>
    <w:bookmarkStart w:id="103" w:name="refs"/>
    <w:p>
      <w:pPr>
        <w:pStyle w:val="Bibliography"/>
      </w:pPr>
      <w:r>
        <w:t xml:space="preserve">E-Service. Situación SOA Actual del FNA. Etapa I. (2022).</w:t>
      </w:r>
    </w:p>
    <w:bookmarkEnd w:id="103"/>
    <w:bookmarkStart w:id="104" w:name="refs"/>
    <w:p>
      <w:pPr>
        <w:pStyle w:val="Bibliography"/>
      </w:pPr>
      <w:r>
        <w:t xml:space="preserve">E-Service. Arquitectura de Referencia del FNA. Etapa II. (2023).</w:t>
      </w:r>
    </w:p>
    <w:bookmarkEnd w:id="104"/>
    <w:bookmarkStart w:id="105" w:name="refs"/>
    <w:p>
      <w:pPr>
        <w:pStyle w:val="Bibliography"/>
      </w:pPr>
      <w:r>
        <w:t xml:space="preserve">E-Service. Hoja de Ruta e Iniciativas. Fase III. (2023).</w:t>
      </w:r>
    </w:p>
    <w:bookmarkEnd w:id="105"/>
    <w:bookmarkEnd w:id="106"/>
    <w:bookmarkEnd w:id="10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70" Target="media/rId70.jp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37" Target="media/rId37.jpg" /><Relationship Type="http://schemas.openxmlformats.org/officeDocument/2006/relationships/image" Id="rId56" Target="media/rId56.jpg" /><Relationship Type="http://schemas.openxmlformats.org/officeDocument/2006/relationships/hyperlink" Id="rId73"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dffcbbf640a3c00a2c2eed645b5803d1c03669d4/"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73"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dffcbbf640a3c00a2c2eed645b5803d1c03669d4/"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dc:language>en-US</dc:language>
  <cp:keywords>SOA, madurez, gobierno, FNA</cp:keywords>
  <dcterms:created xsi:type="dcterms:W3CDTF">2023-06-05T17:42:57Z</dcterms:created>
  <dcterms:modified xsi:type="dcterms:W3CDTF">2023-06-05T17:42:57Z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2023-06-05</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ies>
</file>