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26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1.908463f</w:t>
      </w:r>
    </w:p>
    <w:p>
      <w:pPr>
        <w:pStyle w:val="FirstParagraph"/>
      </w:pPr>
    </w:p>
    <w:bookmarkStart w:id="28" w:name="X0e95f30ab7708d0a2dddab2ec0ca0c7ae2c6f7a"/>
    <w:p>
      <w:pPr>
        <w:pStyle w:val="Ttulo1"/>
      </w:pPr>
      <w:r>
        <w:t xml:space="preserve">Producto 10: PR10. Detalle de los ítems de la empresa FNA impactados por el proyecto</w:t>
      </w:r>
    </w:p>
    <w:p>
      <w:pPr>
        <w:pStyle w:val="FirstParagraph"/>
      </w:pPr>
      <w:r>
        <w:t xml:space="preserve">Lista de las partes de la arquitectura actual del FNA relacionados con el diseño de la arquitectura de referencia SOA 2.0,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el resultado de este producto está dirigido a cumplir los objetivos del proyecto PRY02. Arquitectura de Referencia SOA 2.0 del FNA. Contenido de los Productos Contractuales: desarrollo, sostenibilidad (gestión) de arquitectura de referencia.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Adelantar la aprobación por parte del Fondo Naconal del Ahorro de los contenidos de los entregables del proyecto PRY02, en su Etapa 0, de la Hoja de Ruta E-Service, tal que garantice su continuidad y ejecución.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 PRY02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requerido por el trabajo de arquitectura SOA de referencia 2.0</w:t>
      </w:r>
    </w:p>
    <w:p>
      <w:pPr>
        <w:numPr>
          <w:ilvl w:val="0"/>
          <w:numId w:val="1001"/>
        </w:numPr>
        <w:pStyle w:val="Compact"/>
      </w:pPr>
      <w:r>
        <w:t xml:space="preserve">Iniciativas y brechas sensibles al trabajo de arquitectura de referencia 2.0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brechas críticas del trabajo atendidos por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2 (PRY02), Arquitectura de Referencia SOA 2.0 del FNA. Contenido de los Productos Contractuales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3cbb3195-76e9-4835-a30b-9140f16a7362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2023-06-26T20:29:52Z</dcterms:created>
  <dcterms:modified xsi:type="dcterms:W3CDTF">2023-06-26T20:29:52Z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