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29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1.5f993d6</w:t>
      </w:r>
    </w:p>
    <w:p>
      <w:pPr>
        <w:pStyle w:val="FirstParagraph"/>
      </w:pPr>
    </w:p>
    <w:bookmarkStart w:id="28" w:name="Xb5da950059705fd773c426f9b3ecef9909b13ac"/>
    <w:p>
      <w:pPr>
        <w:pStyle w:val="Ttulo1"/>
      </w:pPr>
      <w:r>
        <w:t xml:space="preserve">Producto 11: PR11. Detalle de los recursos, herramientas, roles, responsabilidades y participantes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Esta es el soporte de decisiones de la Vicepresidencia de tecnología del FNA, tanto de desarrollo, mejoras a las aplicacionas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mínimales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objetuvos del Gobierno SOA del FNA (Proyecto 1, E-Service, Fase II): Mantenimiento de Relación Negocio - Arquitectura (G-OBJG), y Seguimiento a cambios en la arquitectura de referencia (G-OBJS3) exigen la mantenibiliad de la arquitectura de referencia, responsable de 1) dirigir y evolucionar las soluciones tecnológica del FNA, 2) de orientar el diseño de las estas, y 3) ser el instrumento de control para hacer cumplir los principios de diseño de servicios SOA del FNA y del Manual de Gobierno. Para lograr estos objetivos y responsabilidadas dadas, es necesario que desde este proyecto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Principaio y operaciones de manteniento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bc282ff9-45c5-4e08-8f55-55ee88cc06a9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2023-06-29T15:45:44Z</dcterms:created>
  <dcterms:modified xsi:type="dcterms:W3CDTF">2023-06-29T15:45:44Z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