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Detalle de los recursos, herramientas, roles, responsabilidades y participantes: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Flujo de trabajo, tareas, actividades, roles, acciones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1.cde51ea</w:t>
            </w:r>
            <w:r>
              <w:t xml:space="preserve"> </w:t>
            </w:r>
            <w:r>
              <w:t xml:space="preserve">del 24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780134ca4858c4d09b47bcccc6cb021bde86579"/>
    <w:p>
      <w:pPr>
        <w:pStyle w:val="Ttulo1"/>
      </w:pPr>
      <w:r>
        <w:t xml:space="preserve">Matriz de responsabilidades del mantenimiento de la arquitectura de referencia (Oficina de arquitectura del FNA)</w:t>
      </w:r>
    </w:p>
    <w:p>
      <w:pPr>
        <w:pStyle w:val="FirstParagraph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2023-07-24T11:26:47Z</dcterms:created>
  <dcterms:modified xsi:type="dcterms:W3CDTF">2023-07-24T11:26:47Z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