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1.7e8f798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favorecer la adopción del estilo de arquitectura orientado a eventos para atender las funcionalidades y requerimientos de negocio, que para este proyecto son principales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optiminzación de las arquitecturas de servicos SOA relacionadas con las apicaciones del FNA, y en concosrdancia con los análisis realizados en la Fase I, E-Service (2022). Esta permitirá, una vez modelada la arquitectura de referencia objeto de este proyecto, realizar las operaciones requeridas por el proyecto Gobierno SOA del FNA (PRY01, E-Service Fase II) a los segmentos y componentes base, principios, metodologías, estándares, lineamientos y tecnologías, con el fin de permitir a los usuarios interesados estar representados por las arquitecturas de solución derivadas y basadas en esta</w:t>
      </w:r>
      <w:r>
        <w:t xml:space="preserve"> </w:t>
      </w:r>
      <w:r>
        <w:t xml:space="preserve">‘</w:t>
      </w:r>
      <w:r>
        <w:t xml:space="preserve">plantilla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hoja de ruta</w:t>
      </w:r>
      <w:r>
        <w:t xml:space="preserve">’</w:t>
      </w:r>
      <w:r>
        <w:t xml:space="preserve"> </w:t>
      </w:r>
      <w:r>
        <w:t xml:space="preserve">de la arquitectura del FNA.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15d92a1-8f00-47e6-83e3-b75c3c0ffed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2023-06-28T22:04:48Z</dcterms:created>
  <dcterms:modified xsi:type="dcterms:W3CDTF">2023-06-28T22:04:48Z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