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17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1.cdec5c7</w:t>
      </w:r>
    </w:p>
    <w:p>
      <w:pPr>
        <w:pStyle w:val="FirstParagraph"/>
      </w:pPr>
    </w:p>
    <w:bookmarkStart w:id="20" w:name="Xbc676f4ecb94026cf85d007e5dec4a0adadc9f9"/>
    <w:p>
      <w:pPr>
        <w:pStyle w:val="Ttulo1"/>
      </w:pPr>
      <w:r>
        <w:t xml:space="preserve">Producto 12: PR12. Diseño detallado y vistas funcional, despliegue, información, integración y tecnología​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Este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la línea base de la arquitectura de referencia 2.0 del FNA, necesaria para dirigir el desarrollo de los servicios SOA del FNA hacia diseños y tecnologías determinadas en este plano de referencia (como microservicios, REST, API, infraestructura Nube, etc.) y favoreciendo la adopción del estilo de arquitectura orientado a eventos para atender las funcionalidades y necesidades de negocio, que para este proyecto son principales la vicepresidencia de operaciones y la vicepresidencia de crédito del FNA.</w:t>
      </w:r>
    </w:p>
    <w:p>
      <w:pPr>
        <w:pStyle w:val="Textoindependiente"/>
      </w:pPr>
    </w:p>
    <w:bookmarkEnd w:id="20"/>
    <w:bookmarkStart w:id="21" w:name="justificación"/>
    <w:p>
      <w:pPr>
        <w:pStyle w:val="Ttulo1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apicaciones del FNA, y en concosrdancia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1"/>
    <w:bookmarkStart w:id="22" w:name="contenidos"/>
    <w:p>
      <w:pPr>
        <w:pStyle w:val="Ttulo1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1"/>
        </w:numPr>
        <w:pStyle w:val="Compact"/>
      </w:pPr>
      <w:r>
        <w:t xml:space="preserve">Documentación técnica de la Arquitectura de Referencia 2.0 del FNA</w:t>
      </w:r>
    </w:p>
    <w:p>
      <w:pPr>
        <w:pStyle w:val="FirstParagraph"/>
      </w:pPr>
    </w:p>
    <w:bookmarkEnd w:id="22"/>
    <w:bookmarkStart w:id="28" w:name="criterios-de-aceptación"/>
    <w:p>
      <w:pPr>
        <w:pStyle w:val="Ttulo1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2"/>
        </w:numPr>
        <w:pStyle w:val="Compact"/>
      </w:pPr>
      <w:r>
        <w:t xml:space="preserve">Validación de la Arquitectura de Referencia 2.0 del FNA [- Plantilla</w:t>
      </w:r>
      <w:r>
        <w:t xml:space="preserve"> </w:t>
      </w:r>
      <w:r>
        <w:t xml:space="preserve">“</w:t>
      </w:r>
      <w:r>
        <w:t xml:space="preserve">Gestión y Gobierno Arquitectura Empresarial (Mega Hopex) MIPG, MRAE, Marco Transformación Digital, TOGAF</w:t>
      </w:r>
      <w:r>
        <w:t xml:space="preserve">”</w:t>
      </w:r>
      <w:r>
        <w:t xml:space="preserve">]</w:t>
      </w:r>
    </w:p>
    <w:p>
      <w:pPr>
        <w:pStyle w:val="FirstParagraph"/>
      </w:pPr>
    </w:p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f65dff56-a7a9-4f70-84d9-53c7c6e77e69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2023-07-17T17:44:20Z</dcterms:created>
  <dcterms:modified xsi:type="dcterms:W3CDTF">2023-07-17T17:44:20Z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