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1.a6c78fd</w:t>
      </w:r>
    </w:p>
    <w:p>
      <w:pPr>
        <w:pStyle w:val="FirstParagraph"/>
      </w:pPr>
    </w:p>
    <w:bookmarkStart w:id="20" w:name="Xbc676f4ecb94026cf85d007e5dec4a0adadc9f9"/>
    <w:p>
      <w:pPr>
        <w:pStyle w:val="Ttulo1"/>
      </w:pPr>
      <w:r>
        <w:t xml:space="preserve">Producto 12: PR12. Diseño detallado y vistas funcional, despliegue, información, integración y tecnología​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Este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la línea base de la arquitectura de referencia 2.0 del FNA, necesaria para dirigir el desarrollo de los servicios SOA del FNA hacia diseños y tecnologías determinadas en este plano de referencia (como microservicios, REST, API, infraestructura Nube, etc.) y favoreciendo la adopción del estilo de arquitectura orientado a eventos para atender las funcionalidades y necesidades de negocio, que para este proyecto son principales la vicepresidencia de operaciones y la vicepresidencia de crédito del FNA.</w:t>
      </w:r>
    </w:p>
    <w:p>
      <w:pPr>
        <w:pStyle w:val="Textoindependiente"/>
      </w:pPr>
    </w:p>
    <w:bookmarkEnd w:id="20"/>
    <w:bookmarkStart w:id="21" w:name="justificación"/>
    <w:p>
      <w:pPr>
        <w:pStyle w:val="Ttulo1"/>
      </w:pPr>
      <w:r>
        <w:t xml:space="preserve">Justificación</w:t>
      </w:r>
    </w:p>
    <w:p>
      <w:pPr>
        <w:pStyle w:val="FirstParagraph"/>
      </w:pPr>
      <w:r>
        <w:t xml:space="preserve">La Arquitectura de Referencia SOA 2.0 del Fondo Nacional del Ahorro (PR12), que incorpora las problemáticas de gobierno SOA a partir de las que se plantea este producto, busca la prevalencia, el fortalecimiento y la optimización de las arquitecturas de servicios SOA relacionadas con las apicaciones del FNA, y en concosrdancia con los análisis realizados en la Fase I, E-Service (2022). Esta permitirá, una vez modelada la arquitectura de objeto de referencia de este proyecto, realizando las operaciones requeridas por el proyecto Gobierno SOA del FNA (PRY01, E-Service Fase II) a los segmentos y componentes base, principios, metodologías, estándares, lineamientos y tecnologías.</w:t>
      </w:r>
    </w:p>
    <w:p>
      <w:pPr>
        <w:pStyle w:val="Textoindependiente"/>
      </w:pPr>
      <w:r>
        <w:t xml:space="preserve">La Arquitecturas de referencias 2.0 es la responsable de definir y evolucionar las arquitecturas de solución tecnológica del FNA, y su propósito es orientar el diseño de las soluciones delimitando e introduciendo restricciones positivas en cuanto a parámetros, patrones y atributos de calidad. Además, es un instrumento de control para hacer cumplir los principios de diseño de servicios SOA del FNA y del Manual de Gobierno.</w:t>
      </w:r>
    </w:p>
    <w:bookmarkEnd w:id="21"/>
    <w:bookmarkStart w:id="22" w:name="contenidos"/>
    <w:p>
      <w:pPr>
        <w:pStyle w:val="Ttulo1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Diseño y representación de la Arquitectura de Referencia 2.0 del FNA</w:t>
      </w:r>
    </w:p>
    <w:p>
      <w:pPr>
        <w:numPr>
          <w:ilvl w:val="0"/>
          <w:numId w:val="1001"/>
        </w:numPr>
        <w:pStyle w:val="Compact"/>
      </w:pPr>
      <w:r>
        <w:t xml:space="preserve">Consideraciones para implementar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1"/>
        </w:numPr>
        <w:pStyle w:val="Compact"/>
      </w:pPr>
      <w:r>
        <w:t xml:space="preserve">Documentación técnica 0.1 de la Arquitectura de Referencia 2.0 del FNA</w:t>
      </w:r>
    </w:p>
    <w:p>
      <w:pPr>
        <w:pStyle w:val="FirstParagraph"/>
      </w:pPr>
    </w:p>
    <w:bookmarkEnd w:id="22"/>
    <w:bookmarkStart w:id="28" w:name="criterios-de-aceptación"/>
    <w:p>
      <w:pPr>
        <w:pStyle w:val="Ttulo1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Vistas lógicas y conceptuales de los sistemas de información</w:t>
      </w:r>
    </w:p>
    <w:p>
      <w:pPr>
        <w:numPr>
          <w:ilvl w:val="0"/>
          <w:numId w:val="1002"/>
        </w:numPr>
        <w:pStyle w:val="Compact"/>
      </w:pPr>
      <w:r>
        <w:t xml:space="preserve">Validación de la Arquitectura de Referencia 2.0 del FNA [- Plantilla</w:t>
      </w:r>
      <w:r>
        <w:t xml:space="preserve"> </w:t>
      </w:r>
      <w:r>
        <w:t xml:space="preserve">“</w:t>
      </w:r>
      <w:r>
        <w:t xml:space="preserve">Gestión y Gobierno Arquitectura Empresarial (Mega Hopex) MIPG, MRAE, Marco Transformación Digital, TOGAF</w:t>
      </w:r>
      <w:r>
        <w:t xml:space="preserve">”</w:t>
      </w:r>
      <w:r>
        <w:t xml:space="preserve">]</w:t>
      </w:r>
    </w:p>
    <w:p>
      <w:pPr>
        <w:pStyle w:val="FirstParagraph"/>
      </w:pPr>
    </w:p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0c8a5cb-1fab-43a1-8fb8-a1c77b1bceb8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2023-07-20T21:01:57Z</dcterms:created>
  <dcterms:modified xsi:type="dcterms:W3CDTF">2023-07-20T21:01:57Z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