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PRY02. Arquitectura de Referencia SOA 2.0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26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1.908463f</w:t>
      </w:r>
    </w:p>
    <w:p>
      <w:pPr>
        <w:pStyle w:val="FirstParagraph"/>
      </w:pPr>
    </w:p>
    <w:bookmarkStart w:id="28" w:name="Xbc676f4ecb94026cf85d007e5dec4a0adadc9f9"/>
    <w:p>
      <w:pPr>
        <w:pStyle w:val="Ttulo1"/>
      </w:pPr>
      <w:r>
        <w:t xml:space="preserve">Producto 12: PR12. Diseño detallado y vistas funcional, despliegue, información, integración y tecnología​</w:t>
      </w:r>
    </w:p>
    <w:p>
      <w:pPr>
        <w:pStyle w:val="FirstParagraph"/>
      </w:pPr>
      <w:r>
        <w:t xml:space="preserve">La arquitectura SOA de referencia SOA 2.0 del FNA, objeto de este proyecto, la forman las estructuras e integraciones de productos y servicios SOA. Esta arquitectura de referencia incorpora las mejores prácticas aceptadas del sector (cuáles), y es el soporte de entrega de tecnologías específicas. La arquitectura de referencia 2.0 del FNA es la línea base del FNA para la implementación de soluciones tecnológicas complejas.</w:t>
      </w:r>
    </w:p>
    <w:p>
      <w:pPr>
        <w:pStyle w:val="Textoindependiente"/>
      </w:pPr>
      <w:r>
        <w:t xml:space="preserve">(opcional) La Vicepresidencia de Tecnología y Transformación es la responsable de definir y evolucionar las arquitecturas de referencia tecnológicas, con el propósito de orientar el diseño de cualquier arquitectura de solución bajo parámetros, patrones y atributos de calidad definidos por la entidad, teniendo en cuenta los principios de diseño de servicios digitales, definidos en el Manual de Gobierno.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problemática a partir de la cual se planteó el producto 2, Arquitectura de Referencia 2.0 del Fondo Nacional del Ahorro (PR02), se relaciona con la prevalencia de fortalcer y optiminzar las arquitecturas de servicos SOA y apicaciones del FNA, de acuerdo con los análisis realizados en la Fase I, E-Service. Esta permitirá optimizar las arquitecturas de solución del FNA, analizando el conjunto de zonas y sus componentes base, principios, metodologías, estándares, lineamientos y tecnologías, con el fin de permitir a los usuarios interesados diseñar arquitecturas de soluciones, basados en estos conjuntos.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Diseño y representación de la Arquitectura de Referencia 2.0 del FNA (Mega Hopex)</w:t>
      </w:r>
    </w:p>
    <w:p>
      <w:pPr>
        <w:numPr>
          <w:ilvl w:val="0"/>
          <w:numId w:val="1001"/>
        </w:numPr>
        <w:pStyle w:val="Compact"/>
      </w:pPr>
      <w:r>
        <w:t xml:space="preserve">Consideraciones para implementar la arquitectura de referencia</w:t>
      </w:r>
    </w:p>
    <w:p>
      <w:pPr>
        <w:numPr>
          <w:ilvl w:val="0"/>
          <w:numId w:val="1001"/>
        </w:numPr>
        <w:pStyle w:val="Compact"/>
      </w:pPr>
      <w:r>
        <w:t xml:space="preserve">Vistas lógicas y conceptuales de los sistemas de información</w:t>
      </w:r>
    </w:p>
    <w:p>
      <w:pPr>
        <w:numPr>
          <w:ilvl w:val="0"/>
          <w:numId w:val="1001"/>
        </w:numPr>
        <w:pStyle w:val="Compact"/>
      </w:pPr>
      <w:r>
        <w:t xml:space="preserve">Documentación técnica de la Arquitectura de Referencia 2.0 del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Vistas lógicas y conceptuales de los sistemas de información</w:t>
      </w:r>
    </w:p>
    <w:p>
      <w:pPr>
        <w:numPr>
          <w:ilvl w:val="0"/>
          <w:numId w:val="1002"/>
        </w:numPr>
        <w:pStyle w:val="Compact"/>
      </w:pPr>
      <w:r>
        <w:t xml:space="preserve">Validación de la Arquitectura de Referencia 2.0 del FNA [- Plantilla</w:t>
      </w:r>
      <w:r>
        <w:t xml:space="preserve"> </w:t>
      </w:r>
      <w:r>
        <w:t xml:space="preserve">“</w:t>
      </w:r>
      <w:r>
        <w:t xml:space="preserve">Gestión y Gobierno Arquitectura Empresarial (Mega Hopex) MIPG, MRAE, Marco Transformación Digital, TOGAF</w:t>
      </w:r>
      <w:r>
        <w:t xml:space="preserve">”</w:t>
      </w:r>
      <w:r>
        <w:t xml:space="preserve">]</w:t>
      </w:r>
    </w:p>
    <w:p>
      <w:pPr>
        <w:pStyle w:val="FirstParagraph"/>
      </w:pPr>
    </w:p>
    <w:bookmarkEnd w:id="22"/>
    <w:bookmarkStart w:id="27" w:name="modelo-de-implementación-del-pry02"/>
    <w:p>
      <w:pPr>
        <w:pStyle w:val="Ttulo2"/>
      </w:pPr>
      <w:r>
        <w:t xml:space="preserve">Modelo de Implementación del PRY02</w:t>
      </w:r>
    </w:p>
    <w:bookmarkStart w:id="0" w:name="fig:b0ce3d9c-d0ff-4b5e-8ffc-b3980dd89a81"/>
    <w:p>
      <w:pPr>
        <w:pStyle w:val="CaptionedFigure"/>
      </w:pPr>
      <w:bookmarkStart w:id="26" w:name="fig:"/>
      <w:r>
        <w:drawing>
          <wp:inline>
            <wp:extent cx="5600700" cy="4264411"/>
            <wp:effectExtent b="0" l="0" r="0" t="0"/>
            <wp:docPr descr="Figure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2023-06-26T20:29:52Z</dcterms:created>
  <dcterms:modified xsi:type="dcterms:W3CDTF">2023-06-26T20:29:52Z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