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1.2fffc6c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arquitectura de referencia incorpora las mejores prácticas aceptadas del sector (cuáles), y es el soporte de entrega de tecnologías específicas. La arquitectura de referencia 2.0 del FNA es la línea base del FNA para la implementación de soluciones tecnológicas complejas.</w:t>
      </w:r>
    </w:p>
    <w:p>
      <w:pPr>
        <w:pStyle w:val="Textoindependiente"/>
      </w:pPr>
      <w:r>
        <w:t xml:space="preserve">(opcional) La Vicepresidencia de Tecnología y Transformación es la responsable de definir y evolucionar las arquitecturas de referencia tecnológicas, con el propósito de orientar el diseño de cualquier arquitectura de solución bajo parámetros, patrones y atributos de calidad definidos por la entidad, teniendo en cuenta los principios de diseño de servicios digitales, definidos en el Manual de Gobierno.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problemática a partir de la cual se planteó el producto 2, Arquitectura de Referencia 2.0 del Fondo Nacional del Ahorro (PR02), se relaciona con la prevalencia de fortalcer y optiminzar las arquitecturas de servicos SOA y apicaciones del FNA, de acuerdo con los análisis realizados en la Fase I, E-Service. Esta permitirá optimizar las arquitecturas de solución del FNA, analizando el conjunto de zonas y sus componentes base, principios, metodologías, estándares, lineamientos y tecnologías, con el fin de permitir a los usuarios interesados diseñar arquitecturas de soluciones, basados en estos conjuntos.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 (Mega Hopex)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93170e35-0a68-47e3-b061-32224105cb2b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2023-06-28T12:50:18Z</dcterms:created>
  <dcterms:modified xsi:type="dcterms:W3CDTF">2023-06-28T12:50:18Z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