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4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Diseño detallado y vistas funcional, despliegue, información, integración y tecnología​: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servivios,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1.6c3880f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1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arquitecturas del FNA y que implica a las problemáticas diagnósticadas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bcb00a49-3e17-4646-9fe0-c6000a37414e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e9e7861e-20a9-42f8-a953-342058729625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35a15ee1-d2ab-4d53-a989-1d6c34054665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0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3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29a6df19-b839-4f3c-b7d2-ec2487a318b2"/>
    <w:p>
      <w:pPr>
        <w:pStyle w:val="CaptionedFigure"/>
      </w:pPr>
      <w:bookmarkStart w:id="42" w:name="fig:"/>
      <w:r>
        <w:drawing>
          <wp:inline>
            <wp:extent cx="5486400" cy="2743200"/>
            <wp:effectExtent b="0" l="0" r="0" t="0"/>
            <wp:docPr descr="Figure 4: Malla de datos para el FNA" title="" id="40" name="Picture"/>
            <a:graphic>
              <a:graphicData uri="http://schemas.openxmlformats.org/drawingml/2006/picture">
                <pic:pic>
                  <pic:nvPicPr>
                    <pic:cNvPr descr="images/image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Malla de datos para el FNA</w:t>
      </w:r>
    </w:p>
    <w:bookmarkEnd w:id="0"/>
    <w:bookmarkEnd w:id="43"/>
    <w:bookmarkStart w:id="48" w:name="plano-de-datos-objetivo-data-mesh"/>
    <w:p>
      <w:pPr>
        <w:pStyle w:val="Ttulo3"/>
      </w:pPr>
      <w:r>
        <w:t xml:space="preserve">Plano de Datos Objetivo (data mesh)</w:t>
      </w:r>
    </w:p>
    <w:bookmarkStart w:id="0" w:name="fig:1decd28e-4617-4693-aa46-125a384403f4"/>
    <w:p>
      <w:pPr>
        <w:pStyle w:val="CaptionedFigure"/>
      </w:pPr>
      <w:bookmarkStart w:id="47" w:name="fig:"/>
      <w:r>
        <w:drawing>
          <wp:inline>
            <wp:extent cx="5486400" cy="3200400"/>
            <wp:effectExtent b="0" l="0" r="0" t="0"/>
            <wp:docPr descr="Figure 5: Plano de Datos Objetivo del FNA" title="" id="45" name="Picture"/>
            <a:graphic>
              <a:graphicData uri="http://schemas.openxmlformats.org/drawingml/2006/picture">
                <pic:pic>
                  <pic:nvPicPr>
                    <pic:cNvPr descr="images/image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5: Plano de Datos Objetivo del FNA</w:t>
      </w:r>
    </w:p>
    <w:bookmarkEnd w:id="0"/>
    <w:bookmarkEnd w:id="48"/>
    <w:bookmarkStart w:id="49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la propiedad a las manos de</w:t>
      </w:r>
      <w:r>
        <w:t xml:space="preserve"> </w:t>
      </w:r>
      <w:r>
        <w:t xml:space="preserve">los equipos de dominio (es decir departamentos, unidades de negocio,</w:t>
      </w:r>
      <w:r>
        <w:t xml:space="preserve"> </w:t>
      </w:r>
      <w:r>
        <w:t xml:space="preserve">etc.). Ellos serán los dueños de los datos de un extremo a otro, y</w:t>
      </w:r>
      <w:r>
        <w:t xml:space="preserve"> </w:t>
      </w:r>
      <w:r>
        <w:t xml:space="preserve">podrán asegurarse de tener desde las fuentes correctas hasta los</w:t>
      </w:r>
      <w:r>
        <w:t xml:space="preserve"> </w:t>
      </w:r>
      <w:r>
        <w:t xml:space="preserve">procesamientos necesarios y la entrega de los datos para que otros</w:t>
      </w:r>
      <w:r>
        <w:t xml:space="preserve"> </w:t>
      </w:r>
      <w:r>
        <w:t xml:space="preserve">equipos de dominio los aprovechen como productos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</w:t>
      </w:r>
      <w:r>
        <w:t xml:space="preserve"> </w:t>
      </w:r>
      <w:r>
        <w:t xml:space="preserve">datos y también de los productos de datos resultantes. El objetivo es</w:t>
      </w:r>
      <w:r>
        <w:t xml:space="preserve"> </w:t>
      </w:r>
      <w:r>
        <w:t xml:space="preserve">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</w:t>
      </w:r>
      <w:r>
        <w:t xml:space="preserve"> </w:t>
      </w:r>
      <w:r>
        <w:t xml:space="preserve">consumidores y otros equipos de dominio, y el propietario del dominio es</w:t>
      </w:r>
      <w:r>
        <w:t xml:space="preserve"> </w:t>
      </w:r>
      <w:r>
        <w:t xml:space="preserve">responsable de mantener y actualizar (o desaprobar) estos productos para</w:t>
      </w:r>
      <w:r>
        <w:t xml:space="preserve"> </w:t>
      </w:r>
      <w:r>
        <w:t xml:space="preserve">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</w:t>
      </w:r>
      <w:r>
        <w:t xml:space="preserve"> </w:t>
      </w:r>
      <w:r>
        <w:t xml:space="preserve">que nos olvidemos para siempre de las tecnologías complejas y las</w:t>
      </w:r>
      <w:r>
        <w:t xml:space="preserve"> </w:t>
      </w:r>
      <w:r>
        <w:t xml:space="preserve">habilidades de nicho. El Data mesh se basa, por principio, en una</w:t>
      </w:r>
      <w:r>
        <w:t xml:space="preserve"> </w:t>
      </w:r>
      <w:r>
        <w:t xml:space="preserve">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 productos.</w:t>
      </w:r>
      <w:r>
        <w:t xml:space="preserve"> </w:t>
      </w:r>
      <w:r>
        <w:t xml:space="preserve">Esto es lo que llamamos gobernanza federada y en la práctica es</w:t>
      </w:r>
      <w:r>
        <w:t xml:space="preserve"> </w:t>
      </w:r>
      <w:r>
        <w:t xml:space="preserve">fundamental para garantizar la privacidad, el cumplimiento y la</w:t>
      </w:r>
      <w:r>
        <w:t xml:space="preserve"> </w:t>
      </w:r>
      <w:r>
        <w:t xml:space="preserve">posibilidad de escalar.</w:t>
      </w:r>
    </w:p>
    <w:bookmarkEnd w:id="49"/>
    <w:bookmarkEnd w:id="50"/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2023-07-24T11:35:34Z</dcterms:created>
  <dcterms:modified xsi:type="dcterms:W3CDTF">2023-07-24T11:35:34Z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