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12b.consideraciones.md</w:t>
      </w:r>
    </w:p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Diseño detallado y vistas funcional, despliegue, información, integración y tecnología​:</w:t>
            </w:r>
            <w:r>
              <w:t xml:space="preserve"> </w:t>
            </w:r>
            <w:r>
              <w:rPr>
                <w:bCs/>
                <w:b/>
              </w:rPr>
              <w:t xml:space="preserve">Consideraciones para implementar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 implementación, hoja de ruta,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1.cde51ea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2a992e60015c237e73cac22230e5020e6b238c6"/>
    <w:p>
      <w:pPr>
        <w:pStyle w:val="Ttulo1"/>
      </w:pPr>
      <w:r>
        <w:t xml:space="preserve">Consideraciones para Implementar las Arquitecturas de Referencia del FNA</w:t>
      </w:r>
    </w:p>
    <w:p>
      <w:pPr>
        <w:pStyle w:val="FirstParagraph"/>
      </w:pPr>
      <w:r>
        <w:t xml:space="preserve">Partimos de la representación de la vista general de arquitectura actual del FNA, que desembocaron en las problemáticas diagnósticadas en Fase I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 sobre la que realizaremos luego las propuestas de nuevas arquitecturas que</w:t>
      </w:r>
    </w:p>
    <w:p>
      <w:pPr>
        <w:pStyle w:val="Textoindependiente"/>
      </w:pPr>
      <w:r>
        <w:t xml:space="preserve">Este documento presenta la visión general de la arquitectura de referencia del FNA. Contiene propuestas a futuro sobre los cambios y adiciones sugeridas con respecto a la arquitectura de referencia actual.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2023-07-24T11:26:49Z</dcterms:created>
  <dcterms:modified xsi:type="dcterms:W3CDTF">2023-07-24T11:26:49Z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