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34.png" ContentType="image/png"/>
  <Override PartName="/word/media/rId4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STEF@0c684b6</w:t>
        </w:r>
      </w:hyperlink>
      <w:r>
        <w:t xml:space="preserve"> </w:t>
      </w:r>
      <w:r>
        <w:t xml:space="preserve">del June 28, 2023.</w:t>
      </w:r>
      <w:r>
        <w:t xml:space="preserve"> </w:t>
      </w:r>
    </w:p>
    <w:p>
      <w:pPr>
        <w:pStyle w:val="Textoindependiente"/>
      </w:pPr>
      <w:r>
        <w:t xml:space="preserve">   </w:t>
      </w:r>
      <w:r>
        <w:rPr>
          <w:bCs/>
          <w:b/>
        </w:rPr>
        <w:t xml:space="preserve">Versión</w:t>
      </w:r>
      <w:r>
        <w:t xml:space="preserve"> </w:t>
      </w:r>
      <w:r>
        <w:t xml:space="preserve">del producto 1.0c684b6 de 28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1.0c684b6 del 28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1.0c684b6</w:t>
      </w:r>
    </w:p>
    <w:p>
      <w:pPr>
        <w:pStyle w:val="FirstParagraph"/>
      </w:pPr>
    </w:p>
    <w:bookmarkEnd w:id="30"/>
    <w:bookmarkStart w:id="41"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Contenido de los Productos Contractuales: desarrollo, sostenibilidad (gestión) de arquitectura de referencia.</w:t>
      </w:r>
    </w:p>
    <w:p>
      <w:pPr>
        <w:pStyle w:val="Textoindependiente"/>
      </w:pPr>
    </w:p>
    <w:bookmarkStart w:id="31"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1"/>
    <w:bookmarkStart w:id="32" w:name="contenidos"/>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 Contenido de los Productos Contractuales</w:t>
      </w:r>
    </w:p>
    <w:p>
      <w:pPr>
        <w:pStyle w:val="FirstParagraph"/>
      </w:pPr>
    </w:p>
    <w:bookmarkEnd w:id="33"/>
    <w:bookmarkStart w:id="40" w:name="modelo-de-implementación-del-pry02"/>
    <w:p>
      <w:pPr>
        <w:pStyle w:val="Ttulo2"/>
      </w:pPr>
      <w:r>
        <w:t xml:space="preserve">Modelo de Implementación del PRY02</w:t>
      </w:r>
    </w:p>
    <w:bookmarkStart w:id="0" w:name="fig:28188295-6718-4359-95ea-9e19a57ceb27"/>
    <w:p>
      <w:pPr>
        <w:pStyle w:val="CaptionedFigure"/>
      </w:pPr>
      <w:bookmarkStart w:id="37" w:name="fig:"/>
      <w:r>
        <w:drawing>
          <wp:inline>
            <wp:extent cx="5600700" cy="426441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2.png" id="36"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1.0c684b6 del 28 Jun 2023</w:t>
            </w:r>
          </w:p>
        </w:tc>
      </w:tr>
      <w:tr>
        <w:tc>
          <w:tcPr/>
          <w:p>
            <w:pPr>
              <w:pStyle w:val="Compact"/>
              <w:jc w:val="left"/>
            </w:pPr>
            <w:r>
              <w:t xml:space="preserve">Vínculos</w:t>
            </w:r>
          </w:p>
        </w:tc>
        <w:tc>
          <w:tcPr/>
          <w:p>
            <w:pPr>
              <w:pStyle w:val="Compact"/>
              <w:jc w:val="left"/>
            </w:pPr>
            <w:hyperlink r:id="rId38">
              <w:r>
                <w:rPr>
                  <w:rStyle w:val="Hipervnculo"/>
                </w:rPr>
                <w:t xml:space="preserve">N001d. Ejecución Plan de Trabajo SOA</w:t>
              </w:r>
            </w:hyperlink>
            <w:r>
              <w:t xml:space="preserve">;</w:t>
            </w:r>
            <w:r>
              <w:t xml:space="preserve"> </w:t>
            </w:r>
            <w:hyperlink r:id="rId39">
              <w:r>
                <w:rPr>
                  <w:rStyle w:val="Hipervnculo"/>
                </w:rPr>
                <w:t xml:space="preserve">N003a. Procesos de Negocio FNA</w:t>
              </w:r>
            </w:hyperlink>
          </w:p>
        </w:tc>
      </w:tr>
    </w:tbl>
    <w:p>
      <w:pPr>
        <w:pStyle w:val="Textoindependiente"/>
      </w:pPr>
    </w:p>
    <w:bookmarkEnd w:id="40"/>
    <w:bookmarkEnd w:id="41"/>
    <w:bookmarkStart w:id="76" w:name="Xfec879a391e4be25250b3f76a221c11ca8d002a"/>
    <w:p>
      <w:pPr>
        <w:pStyle w:val="Ttulo1"/>
      </w:pPr>
      <w:r>
        <w:t xml:space="preserve">Vista de Contexto Fase II, E-Service, 2023 (181-2020)</w:t>
      </w:r>
    </w:p>
    <w:bookmarkStart w:id="4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5"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3" name="Picture"/>
            <a:graphic>
              <a:graphicData uri="http://schemas.openxmlformats.org/drawingml/2006/picture">
                <pic:pic>
                  <pic:nvPicPr>
                    <pic:cNvPr descr="images/segmentoFNAfaseII.jpg" id="44" name="Picture"/>
                    <pic:cNvPicPr>
                      <a:picLocks noChangeArrowheads="1" noChangeAspect="1"/>
                    </pic:cNvPicPr>
                  </pic:nvPicPr>
                  <pic:blipFill>
                    <a:blip r:embed="rId42"/>
                    <a:stretch>
                      <a:fillRect/>
                    </a:stretch>
                  </pic:blipFill>
                  <pic:spPr bwMode="auto">
                    <a:xfrm>
                      <a:off x="0" y="0"/>
                      <a:ext cx="5600700" cy="6506407"/>
                    </a:xfrm>
                    <a:prstGeom prst="rect">
                      <a:avLst/>
                    </a:prstGeom>
                    <a:noFill/>
                    <a:ln w="9525">
                      <a:noFill/>
                      <a:headEnd/>
                      <a:tailEnd/>
                    </a:ln>
                  </pic:spPr>
                </pic:pic>
              </a:graphicData>
            </a:graphic>
          </wp:inline>
        </w:drawing>
      </w:r>
      <w:bookmarkEnd w:id="45"/>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6"/>
    <w:bookmarkStart w:id="7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7"/>
    <w:bookmarkStart w:id="4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8"/>
    <w:bookmarkStart w:id="4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49"/>
    <w:bookmarkStart w:id="7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619fddbe-376d-4058-9a26-c8d14604997c"/>
    <w:p>
      <w:pPr>
        <w:pStyle w:val="CaptionedFigure"/>
      </w:pPr>
      <w:bookmarkStart w:id="53" w:name="fig:"/>
      <w:r>
        <w:drawing>
          <wp:inline>
            <wp:extent cx="5600700" cy="3258526"/>
            <wp:effectExtent b="0" l="0" r="0" t="0"/>
            <wp:docPr descr="Imagen 3: E-Service" title="" id="51" name="Picture"/>
            <a:graphic>
              <a:graphicData uri="http://schemas.openxmlformats.org/drawingml/2006/picture">
                <pic:pic>
                  <pic:nvPicPr>
                    <pic:cNvPr descr="images/SegmentoSOAFNA.1.png" id="52" name="Picture"/>
                    <pic:cNvPicPr>
                      <a:picLocks noChangeArrowheads="1" noChangeAspect="1"/>
                    </pic:cNvPicPr>
                  </pic:nvPicPr>
                  <pic:blipFill>
                    <a:blip r:embed="rId50"/>
                    <a:stretch>
                      <a:fillRect/>
                    </a:stretch>
                  </pic:blipFill>
                  <pic:spPr bwMode="auto">
                    <a:xfrm>
                      <a:off x="0" y="0"/>
                      <a:ext cx="5600700" cy="3258526"/>
                    </a:xfrm>
                    <a:prstGeom prst="rect">
                      <a:avLst/>
                    </a:prstGeom>
                    <a:noFill/>
                    <a:ln w="9525">
                      <a:noFill/>
                      <a:headEnd/>
                      <a:tailEnd/>
                    </a:ln>
                  </pic:spPr>
                </pic:pic>
              </a:graphicData>
            </a:graphic>
          </wp:inline>
        </w:drawing>
      </w:r>
      <w:bookmarkEnd w:id="53"/>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3cdd47f6-b3c3-42af-8c06-30d7e0dd56c9"/>
    <w:p>
      <w:pPr>
        <w:pStyle w:val="CaptionedFigure"/>
      </w:pPr>
      <w:bookmarkStart w:id="57" w:name="fig:"/>
      <w:r>
        <w:drawing>
          <wp:inline>
            <wp:extent cx="5600700" cy="7690582"/>
            <wp:effectExtent b="0" l="0" r="0" t="0"/>
            <wp:docPr descr="Imagen 4: E-Service" title="" id="55" name="Picture"/>
            <a:graphic>
              <a:graphicData uri="http://schemas.openxmlformats.org/drawingml/2006/picture">
                <pic:pic>
                  <pic:nvPicPr>
                    <pic:cNvPr descr="images/SegmentoSOAFNA.2.png" id="56" name="Picture"/>
                    <pic:cNvPicPr>
                      <a:picLocks noChangeArrowheads="1" noChangeAspect="1"/>
                    </pic:cNvPicPr>
                  </pic:nvPicPr>
                  <pic:blipFill>
                    <a:blip r:embed="rId54"/>
                    <a:stretch>
                      <a:fillRect/>
                    </a:stretch>
                  </pic:blipFill>
                  <pic:spPr bwMode="auto">
                    <a:xfrm>
                      <a:off x="0" y="0"/>
                      <a:ext cx="5600700" cy="7690582"/>
                    </a:xfrm>
                    <a:prstGeom prst="rect">
                      <a:avLst/>
                    </a:prstGeom>
                    <a:noFill/>
                    <a:ln w="9525">
                      <a:noFill/>
                      <a:headEnd/>
                      <a:tailEnd/>
                    </a:ln>
                  </pic:spPr>
                </pic:pic>
              </a:graphicData>
            </a:graphic>
          </wp:inline>
        </w:drawing>
      </w:r>
      <w:bookmarkEnd w:id="57"/>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55401e3c-96a5-479f-9b1c-8f21b948fbd0"/>
    <w:p>
      <w:pPr>
        <w:pStyle w:val="CaptionedFigure"/>
      </w:pPr>
      <w:bookmarkStart w:id="61" w:name="fig:"/>
      <w:r>
        <w:drawing>
          <wp:inline>
            <wp:extent cx="5600700" cy="3882030"/>
            <wp:effectExtent b="0" l="0" r="0" t="0"/>
            <wp:docPr descr="Imagen 5: E-Service" title="" id="59" name="Picture"/>
            <a:graphic>
              <a:graphicData uri="http://schemas.openxmlformats.org/drawingml/2006/picture">
                <pic:pic>
                  <pic:nvPicPr>
                    <pic:cNvPr descr="images/SegmentoSOAFNA.3.png" id="60" name="Picture"/>
                    <pic:cNvPicPr>
                      <a:picLocks noChangeArrowheads="1" noChangeAspect="1"/>
                    </pic:cNvPicPr>
                  </pic:nvPicPr>
                  <pic:blipFill>
                    <a:blip r:embed="rId58"/>
                    <a:stretch>
                      <a:fillRect/>
                    </a:stretch>
                  </pic:blipFill>
                  <pic:spPr bwMode="auto">
                    <a:xfrm>
                      <a:off x="0" y="0"/>
                      <a:ext cx="5600700" cy="3882030"/>
                    </a:xfrm>
                    <a:prstGeom prst="rect">
                      <a:avLst/>
                    </a:prstGeom>
                    <a:noFill/>
                    <a:ln w="9525">
                      <a:noFill/>
                      <a:headEnd/>
                      <a:tailEnd/>
                    </a:ln>
                  </pic:spPr>
                </pic:pic>
              </a:graphicData>
            </a:graphic>
          </wp:inline>
        </w:drawing>
      </w:r>
      <w:bookmarkEnd w:id="61"/>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ffd8446a-b335-4448-8f7e-31c5700f8495"/>
    <w:p>
      <w:pPr>
        <w:pStyle w:val="CaptionedFigure"/>
      </w:pPr>
      <w:bookmarkStart w:id="65" w:name="fig:"/>
      <w:r>
        <w:drawing>
          <wp:inline>
            <wp:extent cx="5600700" cy="5701722"/>
            <wp:effectExtent b="0" l="0" r="0" t="0"/>
            <wp:docPr descr="Imagen 6: E-Service" title="" id="63" name="Picture"/>
            <a:graphic>
              <a:graphicData uri="http://schemas.openxmlformats.org/drawingml/2006/picture">
                <pic:pic>
                  <pic:nvPicPr>
                    <pic:cNvPr descr="images/VistaCapacidadesFNA.1.png" id="64" name="Picture"/>
                    <pic:cNvPicPr>
                      <a:picLocks noChangeArrowheads="1" noChangeAspect="1"/>
                    </pic:cNvPicPr>
                  </pic:nvPicPr>
                  <pic:blipFill>
                    <a:blip r:embed="rId62"/>
                    <a:stretch>
                      <a:fillRect/>
                    </a:stretch>
                  </pic:blipFill>
                  <pic:spPr bwMode="auto">
                    <a:xfrm>
                      <a:off x="0" y="0"/>
                      <a:ext cx="5600700" cy="5701722"/>
                    </a:xfrm>
                    <a:prstGeom prst="rect">
                      <a:avLst/>
                    </a:prstGeom>
                    <a:noFill/>
                    <a:ln w="9525">
                      <a:noFill/>
                      <a:headEnd/>
                      <a:tailEnd/>
                    </a:ln>
                  </pic:spPr>
                </pic:pic>
              </a:graphicData>
            </a:graphic>
          </wp:inline>
        </w:drawing>
      </w:r>
      <w:bookmarkEnd w:id="65"/>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8d2a3378-4834-4abc-bf4c-c63ea3dd281a"/>
    <w:p>
      <w:pPr>
        <w:pStyle w:val="CaptionedFigure"/>
      </w:pPr>
      <w:bookmarkStart w:id="69" w:name="fig:"/>
      <w:r>
        <w:drawing>
          <wp:inline>
            <wp:extent cx="5600700" cy="6963628"/>
            <wp:effectExtent b="0" l="0" r="0" t="0"/>
            <wp:docPr descr="Imagen 7: E-Service" title="" id="67" name="Picture"/>
            <a:graphic>
              <a:graphicData uri="http://schemas.openxmlformats.org/drawingml/2006/picture">
                <pic:pic>
                  <pic:nvPicPr>
                    <pic:cNvPr descr="images/VistaCapacidadesFNA.1a.png" id="68" name="Picture"/>
                    <pic:cNvPicPr>
                      <a:picLocks noChangeArrowheads="1" noChangeAspect="1"/>
                    </pic:cNvPicPr>
                  </pic:nvPicPr>
                  <pic:blipFill>
                    <a:blip r:embed="rId66"/>
                    <a:stretch>
                      <a:fillRect/>
                    </a:stretch>
                  </pic:blipFill>
                  <pic:spPr bwMode="auto">
                    <a:xfrm>
                      <a:off x="0" y="0"/>
                      <a:ext cx="5600700" cy="6963628"/>
                    </a:xfrm>
                    <a:prstGeom prst="rect">
                      <a:avLst/>
                    </a:prstGeom>
                    <a:noFill/>
                    <a:ln w="9525">
                      <a:noFill/>
                      <a:headEnd/>
                      <a:tailEnd/>
                    </a:ln>
                  </pic:spPr>
                </pic:pic>
              </a:graphicData>
            </a:graphic>
          </wp:inline>
        </w:drawing>
      </w:r>
      <w:bookmarkEnd w:id="69"/>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d644a8b3-7ee9-47b2-bcba-23328427e0b8"/>
    <w:p>
      <w:pPr>
        <w:pStyle w:val="CaptionedFigure"/>
      </w:pPr>
      <w:bookmarkStart w:id="73" w:name="fig:"/>
      <w:r>
        <w:drawing>
          <wp:inline>
            <wp:extent cx="5600700" cy="2295848"/>
            <wp:effectExtent b="0" l="0" r="0" t="0"/>
            <wp:docPr descr="Imagen 8: E-Service" title="" id="71" name="Picture"/>
            <a:graphic>
              <a:graphicData uri="http://schemas.openxmlformats.org/drawingml/2006/picture">
                <pic:pic>
                  <pic:nvPicPr>
                    <pic:cNvPr descr="images/VistaCapacidadesFNA.1b.png" id="72" name="Picture"/>
                    <pic:cNvPicPr>
                      <a:picLocks noChangeArrowheads="1" noChangeAspect="1"/>
                    </pic:cNvPicPr>
                  </pic:nvPicPr>
                  <pic:blipFill>
                    <a:blip r:embed="rId70"/>
                    <a:stretch>
                      <a:fillRect/>
                    </a:stretch>
                  </pic:blipFill>
                  <pic:spPr bwMode="auto">
                    <a:xfrm>
                      <a:off x="0" y="0"/>
                      <a:ext cx="5600700" cy="2295848"/>
                    </a:xfrm>
                    <a:prstGeom prst="rect">
                      <a:avLst/>
                    </a:prstGeom>
                    <a:noFill/>
                    <a:ln w="9525">
                      <a:noFill/>
                      <a:headEnd/>
                      <a:tailEnd/>
                    </a:ln>
                  </pic:spPr>
                </pic:pic>
              </a:graphicData>
            </a:graphic>
          </wp:inline>
        </w:drawing>
      </w:r>
      <w:bookmarkEnd w:id="73"/>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1.0c684b6</w:t>
      </w:r>
    </w:p>
    <w:p>
      <w:pPr>
        <w:pStyle w:val="FirstParagraph"/>
      </w:pPr>
    </w:p>
    <w:bookmarkEnd w:id="74"/>
    <w:bookmarkEnd w:id="75"/>
    <w:bookmarkEnd w:id="76"/>
    <w:bookmarkStart w:id="84"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Esta arquitectura de referencia incorpora las mejores prácticas aceptadas del sector (cuáles), y es el soporte de entrega de tecnologías específicas. La arquitectura de referencia 2.0 del FNA es la línea base del FNA para la implementación de soluciones tecnológicas complejas.</w:t>
      </w:r>
    </w:p>
    <w:p>
      <w:pPr>
        <w:pStyle w:val="Textoindependiente"/>
      </w:pPr>
      <w:r>
        <w:t xml:space="preserve">(opcional) La Vicepresidencia de Tecnología y Transformación es la responsable de definir y evolucionar las arquitecturas de referencia tecnológicas, con el propósito de orientar el diseño de cualquier arquitectura de solución bajo parámetros, patrones y atributos de calidad definidos por la entidad, teniendo en cuenta los principios de diseño de servicios digitales, definidos en el Manual de Gobierno.</w:t>
      </w:r>
    </w:p>
    <w:p>
      <w:pPr>
        <w:pStyle w:val="Textoindependiente"/>
      </w:pPr>
    </w:p>
    <w:bookmarkStart w:id="77" w:name="justificación-1"/>
    <w:p>
      <w:pPr>
        <w:pStyle w:val="Ttulo2"/>
      </w:pPr>
      <w:r>
        <w:t xml:space="preserve">Justificación</w:t>
      </w:r>
    </w:p>
    <w:p>
      <w:pPr>
        <w:pStyle w:val="FirstParagraph"/>
      </w:pPr>
      <w:r>
        <w:t xml:space="preserve">La problemática a partir de la cual se planteó el producto 2, Arquitectura de Referencia 2.0 del Fondo Nacional del Ahorro (PR02), se relaciona con la prevalencia de fortalcer y optiminzar las arquitecturas de servicos SOA y apicaciones del FNA, de acuerdo con los análisis realizados en la Fase I, E-Service. Esta permitirá optimizar las arquitecturas de solución del FNA, analizando el conjunto de zonas y sus componentes base, principios, metodologías, estándares, lineamientos y tecnologías, con el fin de permitir a los usuarios interesados diseñar arquitecturas de soluciones, basados en estos conjuntos.</w:t>
      </w:r>
    </w:p>
    <w:bookmarkEnd w:id="77"/>
    <w:bookmarkStart w:id="78" w:name="contenidos-1"/>
    <w:p>
      <w:pPr>
        <w:pStyle w:val="Ttulo2"/>
      </w:pPr>
      <w:r>
        <w:t xml:space="preserve">Contenidos</w:t>
      </w:r>
    </w:p>
    <w:p>
      <w:pPr>
        <w:numPr>
          <w:ilvl w:val="0"/>
          <w:numId w:val="1008"/>
        </w:numPr>
        <w:pStyle w:val="Compact"/>
      </w:pPr>
      <w:r>
        <w:t xml:space="preserve">Diseño y representación de la Arquitectura de Referencia 2.0 del FNA (Mega Hopex)</w:t>
      </w:r>
    </w:p>
    <w:p>
      <w:pPr>
        <w:numPr>
          <w:ilvl w:val="0"/>
          <w:numId w:val="1008"/>
        </w:numPr>
        <w:pStyle w:val="Compact"/>
      </w:pPr>
      <w:r>
        <w:t xml:space="preserve">Consideraciones para implementar la arquitectura de referencia</w:t>
      </w:r>
    </w:p>
    <w:p>
      <w:pPr>
        <w:numPr>
          <w:ilvl w:val="0"/>
          <w:numId w:val="1008"/>
        </w:numPr>
        <w:pStyle w:val="Compact"/>
      </w:pPr>
      <w:r>
        <w:t xml:space="preserve">Vistas lógicas y conceptuales de los sistemas de información</w:t>
      </w:r>
    </w:p>
    <w:p>
      <w:pPr>
        <w:numPr>
          <w:ilvl w:val="0"/>
          <w:numId w:val="1008"/>
        </w:numPr>
        <w:pStyle w:val="Compact"/>
      </w:pPr>
      <w:r>
        <w:t xml:space="preserve">Documentación técnica de la Arquitectura de Referencia 2.0 del FNA</w:t>
      </w:r>
    </w:p>
    <w:p>
      <w:pPr>
        <w:pStyle w:val="FirstParagraph"/>
      </w:pPr>
    </w:p>
    <w:bookmarkEnd w:id="78"/>
    <w:bookmarkStart w:id="79" w:name="criterios-de-aceptación-1"/>
    <w:p>
      <w:pPr>
        <w:pStyle w:val="Ttulo2"/>
      </w:pPr>
      <w:r>
        <w:t xml:space="preserve">Criterios de Aceptación</w:t>
      </w:r>
    </w:p>
    <w:p>
      <w:pPr>
        <w:numPr>
          <w:ilvl w:val="0"/>
          <w:numId w:val="1009"/>
        </w:numPr>
        <w:pStyle w:val="Compact"/>
      </w:pPr>
      <w:r>
        <w:t xml:space="preserve">Vistas lógicas y conceptuales de los sistemas de información</w:t>
      </w:r>
    </w:p>
    <w:p>
      <w:pPr>
        <w:numPr>
          <w:ilvl w:val="0"/>
          <w:numId w:val="1009"/>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79"/>
    <w:bookmarkStart w:id="83" w:name="modelo-de-implementación-del-pry02-1"/>
    <w:p>
      <w:pPr>
        <w:pStyle w:val="Ttulo2"/>
      </w:pPr>
      <w:r>
        <w:t xml:space="preserve">Modelo de Implementación del PRY02</w:t>
      </w:r>
    </w:p>
    <w:bookmarkStart w:id="0" w:name="fig:960691df-d10e-48d6-97ea-31fee1717e3e"/>
    <w:p>
      <w:pPr>
        <w:pStyle w:val="CaptionedFigure"/>
      </w:pPr>
      <w:bookmarkStart w:id="82" w:name="fig:"/>
      <w:r>
        <w:drawing>
          <wp:inline>
            <wp:extent cx="5600700" cy="4264411"/>
            <wp:effectExtent b="0" l="0" r="0" t="0"/>
            <wp:docPr descr="Imagen 9: Plan de Implementación del Proyecto Hoja de Ruta E-Service FNA, 2023. Abril 2023 a Agosto 2023" title="" id="80" name="Picture"/>
            <a:graphic>
              <a:graphicData uri="http://schemas.openxmlformats.org/drawingml/2006/picture">
                <pic:pic>
                  <pic:nvPicPr>
                    <pic:cNvPr descr="images/pry2.png" id="81"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82"/>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bookmarkEnd w:id="83"/>
    <w:bookmarkEnd w:id="84"/>
    <w:bookmarkStart w:id="89" w:name="referencias"/>
    <w:p>
      <w:pPr>
        <w:pStyle w:val="Ttulo1"/>
      </w:pPr>
      <w:r>
        <w:t xml:space="preserve">Referencias</w:t>
      </w:r>
    </w:p>
    <w:bookmarkStart w:id="85" w:name="refs"/>
    <w:p>
      <w:pPr>
        <w:pStyle w:val="Bibliography"/>
      </w:pPr>
      <w:r>
        <w:t xml:space="preserve">E-Service. Situación SOA Actual del FNA. Etapa I. (2022).</w:t>
      </w:r>
    </w:p>
    <w:bookmarkEnd w:id="85"/>
    <w:bookmarkStart w:id="86" w:name="refs"/>
    <w:p>
      <w:pPr>
        <w:pStyle w:val="Bibliography"/>
      </w:pPr>
      <w:r>
        <w:t xml:space="preserve">E-Service. Arquitectura de Referencia del FNA. Etapa II. (2023).</w:t>
      </w:r>
    </w:p>
    <w:bookmarkEnd w:id="86"/>
    <w:bookmarkStart w:id="87" w:name="refs"/>
    <w:p>
      <w:pPr>
        <w:pStyle w:val="Bibliography"/>
      </w:pPr>
      <w:r>
        <w:t xml:space="preserve">E-Service. Hoja de Ruta e Iniciativas. Etapa III. (2023).</w:t>
      </w:r>
    </w:p>
    <w:bookmarkEnd w:id="87"/>
    <w:bookmarkStart w:id="88" w:name="refs"/>
    <w:p>
      <w:pPr>
        <w:pStyle w:val="Bibliography"/>
      </w:pPr>
      <w:r>
        <w:t xml:space="preserve">TOGAF 9.1. Risk Management (2023). En https://pubs.opengroup.org/architecture/togaf9-doc/arch/chap27.html</w:t>
      </w:r>
    </w:p>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42" Target="media/rId42.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0c684b648113a1ea49d3b52c66fefb0250a6752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0c684b648113a1ea49d3b52c66fefb0250a6752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dc:language>en-US</dc:language>
  <cp:keywords>SOA, madurez, gobierno, FNA</cp:keywords>
  <dcterms:created xsi:type="dcterms:W3CDTF">2023-06-28T11:21:40Z</dcterms:created>
  <dcterms:modified xsi:type="dcterms:W3CDTF">2023-06-28T11:21:40Z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