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7.jpg" ContentType="image/jpeg"/>
  <Override PartName="/word/media/rId35.png" ContentType="image/png"/>
  <Override PartName="/word/media/rId102.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STEF@1061209</w:t>
        </w:r>
      </w:hyperlink>
      <w:r>
        <w:t xml:space="preserve"> </w:t>
      </w:r>
      <w:r>
        <w:t xml:space="preserve">del July 19, 2023.</w:t>
      </w:r>
      <w:r>
        <w:t xml:space="preserve"> </w:t>
      </w:r>
    </w:p>
    <w:p>
      <w:pPr>
        <w:pStyle w:val="Textoindependiente"/>
      </w:pPr>
      <w:r>
        <w:t xml:space="preserve">   </w:t>
      </w:r>
      <w:r>
        <w:rPr>
          <w:bCs/>
          <w:b/>
        </w:rPr>
        <w:t xml:space="preserve">Versión</w:t>
      </w:r>
      <w:r>
        <w:t xml:space="preserve"> </w:t>
      </w:r>
      <w:r>
        <w:t xml:space="preserve">del producto 1.1061209 de 19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1.1061209 del 19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1.1061209</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1f3d3e73-1787-4a1a-a91b-480d6876253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1.1061209 del 19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bffa5e8-eb55-4a3b-8855-7ccdd65767b9"/>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114af722-43ee-4dc2-bd37-ce23d358fbbb"/>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3e5d3a9-4b14-43a0-b0e3-fddd150df9e0"/>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0f0f667-5ef4-4137-9097-1426c21a281f"/>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6c07dfc-cb85-4a6e-9e2b-96cc84728b6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3fdd8de-2d4a-4f36-95f5-aa0183665cd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1.1061209</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bf78ea37-b381-481b-bf20-ee7d1bf5a1c5"/>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1.1061209</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es la integración de propiedades sistémicas en los aportes y trabajos de ingenierías independientes necesarios para la implementación y despliegue de artefactos ejecutables.</w:t>
      </w:r>
    </w:p>
    <w:p>
      <w:pPr>
        <w:pStyle w:val="SourceCode"/>
      </w:pPr>
      <w:r>
        <w:rPr>
          <w:rStyle w:val="VerbatimChar"/>
        </w:rPr>
        <w:t xml:space="preserve">Importante. La distición de la arquitecgtura (respecto de la ingeniería), en este contexto, es el foco en integrar propiedades de los sistemas, y su optimización, entre la construcción de ingenierías independientes, como datos, infraestructura, redes.</w:t>
      </w:r>
    </w:p>
    <w:p>
      <w:pPr>
        <w:pStyle w:val="FirstParagraph"/>
      </w:pPr>
      <w:r>
        <w:t xml:space="preserve">Sin perjuicio de esta separación,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estas formas de trabajo,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88" w:name="X9b343a13db52b9843985e701ed8f27889228284"/>
    <w:p>
      <w:pPr>
        <w:pStyle w:val="Ttulo1"/>
      </w:pPr>
      <w:r>
        <w:t xml:space="preserve">Flujo de Trabajo del FNA para el Mantenimiento de la Arquitectura de Referencia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1.1061209</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w:t>
      </w:r>
      <w:r>
        <w:t xml:space="preserve"> </w:t>
      </w:r>
      <w:hyperlink w:anchor="X9b343a13db52b9843985e701ed8f27889228284">
        <w:r>
          <w:rPr>
            <w:rStyle w:val="Hipervnculo"/>
          </w:rPr>
          <w:t xml:space="preserve">Flujo de Trabajo del FNA para el Mantenimiento de la Arquitectura de Referencia</w:t>
        </w:r>
      </w:hyperlink>
      <w:r>
        <w:t xml:space="preserve">)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0"/>
        </w:numPr>
        <w:pStyle w:val="Compact"/>
      </w:pPr>
      <w:r>
        <w:t xml:space="preserve">Arquitectura incremental</w:t>
      </w:r>
    </w:p>
    <w:p>
      <w:pPr>
        <w:numPr>
          <w:ilvl w:val="0"/>
          <w:numId w:val="1010"/>
        </w:numPr>
        <w:pStyle w:val="Compact"/>
      </w:pPr>
      <w:r>
        <w:t xml:space="preserve">Verificación continua de arquitecturas</w:t>
      </w:r>
    </w:p>
    <w:p>
      <w:pPr>
        <w:numPr>
          <w:ilvl w:val="0"/>
          <w:numId w:val="1010"/>
        </w:numPr>
        <w:pStyle w:val="Compact"/>
      </w:pPr>
      <w:r>
        <w:t xml:space="preserve">Generación contínua de arquitecturas</w:t>
      </w:r>
    </w:p>
    <w:p>
      <w:pPr>
        <w:numPr>
          <w:ilvl w:val="0"/>
          <w:numId w:val="1010"/>
        </w:numPr>
        <w:pStyle w:val="Compact"/>
      </w:pPr>
      <w:r>
        <w:t xml:space="preserve">Foco en diseños puntuales (evite los diseños a largo plazo)</w:t>
      </w:r>
    </w:p>
    <w:p>
      <w:pPr>
        <w:numPr>
          <w:ilvl w:val="0"/>
          <w:numId w:val="1010"/>
        </w:numPr>
        <w:pStyle w:val="Compact"/>
      </w:pPr>
      <w:r>
        <w:t xml:space="preserve">Coautoría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1.1061209</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9"/>
    <w:bookmarkStart w:id="90"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1.1061209</w:t>
      </w:r>
    </w:p>
    <w:p>
      <w:pPr>
        <w:pStyle w:val="FirstParagraph"/>
      </w:pPr>
    </w:p>
    <w:bookmarkEnd w:id="90"/>
    <w:bookmarkStart w:id="9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1"/>
    <w:bookmarkStart w:id="92"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2"/>
    <w:bookmarkStart w:id="93" w:name="contenidos-3"/>
    <w:p>
      <w:pPr>
        <w:pStyle w:val="Ttulo1"/>
      </w:pPr>
      <w:r>
        <w:t xml:space="preserve">Contenidos</w:t>
      </w:r>
    </w:p>
    <w:p>
      <w:pPr>
        <w:numPr>
          <w:ilvl w:val="0"/>
          <w:numId w:val="1011"/>
        </w:numPr>
        <w:pStyle w:val="Compact"/>
      </w:pPr>
      <w:r>
        <w:t xml:space="preserve">Diseño y representación de la Arquitectura de Referencia 2.0 del FNA</w:t>
      </w:r>
    </w:p>
    <w:p>
      <w:pPr>
        <w:numPr>
          <w:ilvl w:val="0"/>
          <w:numId w:val="1011"/>
        </w:numPr>
        <w:pStyle w:val="Compact"/>
      </w:pPr>
      <w:r>
        <w:t xml:space="preserve">Consideraciones para implementar la arquitectura de referencia</w:t>
      </w:r>
    </w:p>
    <w:p>
      <w:pPr>
        <w:numPr>
          <w:ilvl w:val="0"/>
          <w:numId w:val="1011"/>
        </w:numPr>
        <w:pStyle w:val="Compact"/>
      </w:pPr>
      <w:r>
        <w:t xml:space="preserve">Vistas lógicas y conceptuales de los sistemas de información</w:t>
      </w:r>
    </w:p>
    <w:p>
      <w:pPr>
        <w:numPr>
          <w:ilvl w:val="0"/>
          <w:numId w:val="1011"/>
        </w:numPr>
        <w:pStyle w:val="Compact"/>
      </w:pPr>
      <w:r>
        <w:t xml:space="preserve">Documentación técnica 0.1 de la Arquitectura de Referencia 2.0 del FNA</w:t>
      </w:r>
    </w:p>
    <w:p>
      <w:pPr>
        <w:pStyle w:val="FirstParagraph"/>
      </w:pPr>
    </w:p>
    <w:bookmarkEnd w:id="93"/>
    <w:bookmarkStart w:id="98" w:name="criterios-de-aceptación-2"/>
    <w:p>
      <w:pPr>
        <w:pStyle w:val="Ttulo1"/>
      </w:pPr>
      <w:r>
        <w:t xml:space="preserve">Criterios de Aceptación</w:t>
      </w:r>
    </w:p>
    <w:p>
      <w:pPr>
        <w:numPr>
          <w:ilvl w:val="0"/>
          <w:numId w:val="1012"/>
        </w:numPr>
        <w:pStyle w:val="Compact"/>
      </w:pPr>
      <w:r>
        <w:t xml:space="preserve">Vistas lógicas y conceptuales de los sistemas de información</w:t>
      </w:r>
    </w:p>
    <w:p>
      <w:pPr>
        <w:numPr>
          <w:ilvl w:val="0"/>
          <w:numId w:val="1012"/>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7" w:name="modelo-de-implementación-del-pry02-2"/>
    <w:p>
      <w:pPr>
        <w:pStyle w:val="Ttulo2"/>
      </w:pPr>
      <w:r>
        <w:t xml:space="preserve">Modelo de Implementación del PRY02</w:t>
      </w:r>
    </w:p>
    <w:bookmarkStart w:id="0" w:name="fig:f463f19d-6f56-45d3-820c-3ae3521ae453"/>
    <w:p>
      <w:pPr>
        <w:pStyle w:val="CaptionedFigure"/>
      </w:pPr>
      <w:bookmarkStart w:id="96" w:name="fig:"/>
      <w:r>
        <w:drawing>
          <wp:inline>
            <wp:extent cx="5600700" cy="4264411"/>
            <wp:effectExtent b="0" l="0" r="0" t="0"/>
            <wp:docPr descr="Imagen 10: Plan de Implementación del Proyecto Hoja de Ruta E-Service FNA, 2023. Abril 2023 a Agosto 2023" title="" id="94" name="Picture"/>
            <a:graphic>
              <a:graphicData uri="http://schemas.openxmlformats.org/drawingml/2006/picture">
                <pic:pic>
                  <pic:nvPicPr>
                    <pic:cNvPr descr="images/pry2.png" id="95"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6"/>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1.1061209</w:t>
      </w:r>
    </w:p>
    <w:p>
      <w:pPr>
        <w:pStyle w:val="FirstParagraph"/>
      </w:pPr>
    </w:p>
    <w:bookmarkEnd w:id="97"/>
    <w:bookmarkEnd w:id="98"/>
    <w:bookmarkStart w:id="112"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9"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9"/>
    <w:bookmarkStart w:id="100" w:name="contenidos-4"/>
    <w:p>
      <w:pPr>
        <w:pStyle w:val="Ttulo2"/>
      </w:pPr>
      <w:r>
        <w:t xml:space="preserve">Contenidos</w:t>
      </w:r>
    </w:p>
    <w:p>
      <w:pPr>
        <w:numPr>
          <w:ilvl w:val="0"/>
          <w:numId w:val="1013"/>
        </w:numPr>
        <w:pStyle w:val="Compact"/>
      </w:pPr>
      <w:r>
        <w:t xml:space="preserve">Análisis iniciales de los elementos del modelo de la arquitectura de referencia SOA 2.0 del FNA</w:t>
      </w:r>
    </w:p>
    <w:p>
      <w:pPr>
        <w:numPr>
          <w:ilvl w:val="0"/>
          <w:numId w:val="1013"/>
        </w:numPr>
        <w:pStyle w:val="Compact"/>
      </w:pPr>
      <w:r>
        <w:t xml:space="preserve">Repositorio de arquitectura del FNA actualizado con arquitectura de referencia</w:t>
      </w:r>
    </w:p>
    <w:p>
      <w:pPr>
        <w:numPr>
          <w:ilvl w:val="0"/>
          <w:numId w:val="1013"/>
        </w:numPr>
        <w:pStyle w:val="Compact"/>
      </w:pPr>
      <w:r>
        <w:t xml:space="preserve">Documentación técnica 0.2 de la arquitectura de referencia SOA</w:t>
      </w:r>
    </w:p>
    <w:p>
      <w:pPr>
        <w:numPr>
          <w:ilvl w:val="0"/>
          <w:numId w:val="1013"/>
        </w:numPr>
        <w:pStyle w:val="Compact"/>
      </w:pPr>
      <w:r>
        <w:t xml:space="preserve">Proceso de mantenimiento de la arquitectura de referencia SOA 2.0 del FNA</w:t>
      </w:r>
    </w:p>
    <w:p>
      <w:pPr>
        <w:pStyle w:val="FirstParagraph"/>
      </w:pPr>
    </w:p>
    <w:bookmarkEnd w:id="100"/>
    <w:bookmarkStart w:id="101" w:name="criterios-de-aceptación-3"/>
    <w:p>
      <w:pPr>
        <w:pStyle w:val="Ttulo2"/>
      </w:pPr>
      <w:r>
        <w:t xml:space="preserve">Criterios de Aceptación</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Entendimiento del proceso de mantenimiento de la arquitectura de referencia SOA 2.0 del FNA y sus implicaciones</w:t>
      </w:r>
    </w:p>
    <w:p>
      <w:pPr>
        <w:pStyle w:val="FirstParagraph"/>
      </w:pPr>
    </w:p>
    <w:bookmarkEnd w:id="101"/>
    <w:bookmarkStart w:id="106" w:name="X2260ad506a532d59ca3165e327d1d5490ed12e5"/>
    <w:p>
      <w:pPr>
        <w:pStyle w:val="Ttulo2"/>
      </w:pPr>
      <w:r>
        <w:t xml:space="preserve">Repositorio de Arquitectura del FNA, versión 0.1</w:t>
      </w:r>
    </w:p>
    <w:bookmarkStart w:id="0" w:name="fig:e412ba32-a886-40f6-9fd9-54595ec05135"/>
    <w:p>
      <w:pPr>
        <w:pStyle w:val="CaptionedFigure"/>
      </w:pPr>
      <w:bookmarkStart w:id="105" w:name="fig:"/>
      <w:r>
        <w:drawing>
          <wp:inline>
            <wp:extent cx="5600700" cy="2790366"/>
            <wp:effectExtent b="0" l="0" r="0" t="0"/>
            <wp:docPr descr="Imagen 11: Artefactos del repositorio de arquitectura del FNA." title="" id="103" name="Picture"/>
            <a:graphic>
              <a:graphicData uri="http://schemas.openxmlformats.org/drawingml/2006/picture">
                <pic:pic>
                  <pic:nvPicPr>
                    <pic:cNvPr descr="images/repofna.png" id="104" name="Picture"/>
                    <pic:cNvPicPr>
                      <a:picLocks noChangeArrowheads="1" noChangeAspect="1"/>
                    </pic:cNvPicPr>
                  </pic:nvPicPr>
                  <pic:blipFill>
                    <a:blip r:embed="rId102"/>
                    <a:stretch>
                      <a:fillRect/>
                    </a:stretch>
                  </pic:blipFill>
                  <pic:spPr bwMode="auto">
                    <a:xfrm>
                      <a:off x="0" y="0"/>
                      <a:ext cx="5600700" cy="2790366"/>
                    </a:xfrm>
                    <a:prstGeom prst="rect">
                      <a:avLst/>
                    </a:prstGeom>
                    <a:noFill/>
                    <a:ln w="9525">
                      <a:noFill/>
                      <a:headEnd/>
                      <a:tailEnd/>
                    </a:ln>
                  </pic:spPr>
                </pic:pic>
              </a:graphicData>
            </a:graphic>
          </wp:inline>
        </w:drawing>
      </w:r>
      <w:bookmarkEnd w:id="105"/>
    </w:p>
    <w:p>
      <w:pPr>
        <w:pStyle w:val="ImageCaption"/>
      </w:pPr>
      <w:r>
        <w:t xml:space="preserve">Imagen 11: Artefactos del repositorio de arquitectura del FNA.</w:t>
      </w:r>
    </w:p>
    <w:bookmarkEnd w:id="0"/>
    <w:p>
      <w:pPr>
        <w:pStyle w:val="Textoindependiente"/>
      </w:pPr>
      <w:r>
        <w:rPr>
          <w:iCs/>
          <w:i/>
        </w:rPr>
        <w:t xml:space="preserve">Fuente: Diagnóstico SOA. E-Service (2022).</w:t>
      </w:r>
    </w:p>
    <w:bookmarkEnd w:id="106"/>
    <w:bookmarkStart w:id="111" w:name="modelo-de-implementación-del-pry02-3"/>
    <w:p>
      <w:pPr>
        <w:pStyle w:val="Ttulo2"/>
      </w:pPr>
      <w:r>
        <w:t xml:space="preserve">Modelo de Implementación del PRY02</w:t>
      </w:r>
    </w:p>
    <w:bookmarkStart w:id="0" w:name="fig:eb1e1def-3f49-4b20-82e8-48c88ba3b99d"/>
    <w:p>
      <w:pPr>
        <w:pStyle w:val="CaptionedFigure"/>
      </w:pPr>
      <w:bookmarkStart w:id="110" w:name="fig:"/>
      <w:r>
        <w:drawing>
          <wp:inline>
            <wp:extent cx="5600700" cy="4499951"/>
            <wp:effectExtent b="0" l="0" r="0" t="0"/>
            <wp:docPr descr="Imagen 12: Plan de Implementación del Proyecto Arquitectura de Referencia SOA 2.0 del FNA (PRY02), 2023. Junio 2023 a julio 2023" title="" id="108" name="Picture"/>
            <a:graphic>
              <a:graphicData uri="http://schemas.openxmlformats.org/drawingml/2006/picture">
                <pic:pic>
                  <pic:nvPicPr>
                    <pic:cNvPr descr="images/pry1gobierno.jpg" id="109" name="Picture"/>
                    <pic:cNvPicPr>
                      <a:picLocks noChangeArrowheads="1" noChangeAspect="1"/>
                    </pic:cNvPicPr>
                  </pic:nvPicPr>
                  <pic:blipFill>
                    <a:blip r:embed="rId107"/>
                    <a:stretch>
                      <a:fillRect/>
                    </a:stretch>
                  </pic:blipFill>
                  <pic:spPr bwMode="auto">
                    <a:xfrm>
                      <a:off x="0" y="0"/>
                      <a:ext cx="5600700" cy="4499951"/>
                    </a:xfrm>
                    <a:prstGeom prst="rect">
                      <a:avLst/>
                    </a:prstGeom>
                    <a:noFill/>
                    <a:ln w="9525">
                      <a:noFill/>
                      <a:headEnd/>
                      <a:tailEnd/>
                    </a:ln>
                  </pic:spPr>
                </pic:pic>
              </a:graphicData>
            </a:graphic>
          </wp:inline>
        </w:drawing>
      </w:r>
      <w:bookmarkEnd w:id="110"/>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11"/>
    <w:bookmarkEnd w:id="112"/>
    <w:bookmarkStart w:id="117" w:name="referencias"/>
    <w:p>
      <w:pPr>
        <w:pStyle w:val="Ttulo1"/>
      </w:pPr>
      <w:r>
        <w:t xml:space="preserve">Referencias</w:t>
      </w:r>
    </w:p>
    <w:bookmarkStart w:id="113" w:name="refs"/>
    <w:p>
      <w:pPr>
        <w:pStyle w:val="Bibliography"/>
      </w:pPr>
      <w:r>
        <w:t xml:space="preserve">E-Service. Situación SOA Actual del FNA. Etapa I. (2022).</w:t>
      </w:r>
    </w:p>
    <w:bookmarkEnd w:id="113"/>
    <w:bookmarkStart w:id="114" w:name="refs"/>
    <w:p>
      <w:pPr>
        <w:pStyle w:val="Bibliography"/>
      </w:pPr>
      <w:r>
        <w:t xml:space="preserve">E-Service. Arquitectura de Referencia del FNA. Etapa II. (2023).</w:t>
      </w:r>
    </w:p>
    <w:bookmarkEnd w:id="114"/>
    <w:bookmarkStart w:id="115" w:name="refs"/>
    <w:p>
      <w:pPr>
        <w:pStyle w:val="Bibliography"/>
      </w:pPr>
      <w:r>
        <w:t xml:space="preserve">E-Service. Hoja de Ruta e Iniciativas. Etapa III. (2023).</w:t>
      </w:r>
    </w:p>
    <w:bookmarkEnd w:id="115"/>
    <w:bookmarkStart w:id="116" w:name="refs"/>
    <w:p>
      <w:pPr>
        <w:pStyle w:val="Bibliography"/>
      </w:pPr>
      <w:r>
        <w:t xml:space="preserve">TOGAF 9.1. Risk Management (2023). En https://pubs.opengroup.org/architecture/togaf9-doc/arch/chap27.html</w:t>
      </w:r>
    </w:p>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7" Target="media/rId107.jpg" /><Relationship Type="http://schemas.openxmlformats.org/officeDocument/2006/relationships/image" Id="rId35" Target="media/rId35.png" /><Relationship Type="http://schemas.openxmlformats.org/officeDocument/2006/relationships/image" Id="rId102" Target="media/rId102.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061209d3ed8efbaebb6fc423f760fb1eba7c71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061209d3ed8efbaebb6fc423f760fb1eba7c71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2023-07-19T16:08:52Z</dcterms:created>
  <dcterms:modified xsi:type="dcterms:W3CDTF">2023-07-19T16:08:52Z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