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89.png" ContentType="image/png"/>
  <Override PartName="/word/media/rId93.png" ContentType="image/png"/>
  <Override PartName="/word/media/rId117.jpg" ContentType="image/jpeg"/>
  <Override PartName="/word/media/rId35.png" ContentType="image/png"/>
  <Override PartName="/word/media/rId112.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STEF@1df8f74</w:t>
        </w:r>
      </w:hyperlink>
      <w:r>
        <w:t xml:space="preserve"> </w:t>
      </w:r>
      <w:r>
        <w:t xml:space="preserve">del July 20, 2023.</w:t>
      </w:r>
      <w:r>
        <w:t xml:space="preserve"> </w:t>
      </w:r>
    </w:p>
    <w:p>
      <w:pPr>
        <w:pStyle w:val="Textoindependiente"/>
      </w:pPr>
      <w:r>
        <w:t xml:space="preserve">   </w:t>
      </w:r>
      <w:r>
        <w:rPr>
          <w:bCs/>
          <w:b/>
        </w:rPr>
        <w:t xml:space="preserve">Versión</w:t>
      </w:r>
      <w:r>
        <w:t xml:space="preserve"> </w:t>
      </w:r>
      <w:r>
        <w:t xml:space="preserve">del producto 1.1df8f74 de 20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1.1df8f74 del 20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1.1df8f74</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dc1f309c-a0a9-4704-af0c-8fca82434c23"/>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1.1df8f74 del 20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0ca6d59d-8989-4817-8a52-26cec37ed6ab"/>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8ef7752c-3acb-455d-9ecb-76c02571d1e3"/>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11ab80e8-4b27-4843-ba7e-77b5f92a37c2"/>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a77887ce-7f57-465f-80de-5705a01fcdd1"/>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7e1d00af-daf4-4408-98e8-f3f4fc30c86c"/>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e30fc819-73ac-412b-a796-05fdbf73ed53"/>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1.1df8f74</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52bf3f6a-a20b-4d97-9758-22412e42ecc9"/>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1.1df8f74</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9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52b4f760-83dc-4b1c-b08c-d577f4f523a2"/>
    <w:p>
      <w:pPr>
        <w:pStyle w:val="CaptionedFigure"/>
      </w:pPr>
      <w:bookmarkStart w:id="92" w:name="fig:"/>
      <w:r>
        <w:drawing>
          <wp:inline>
            <wp:extent cx="5600700" cy="4878524"/>
            <wp:effectExtent b="0" l="0" r="0" t="0"/>
            <wp:docPr descr="Imagen 10: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354abca1-3e61-4324-bb57-724305998ea2"/>
    <w:p>
      <w:pPr>
        <w:pStyle w:val="CaptionedFigure"/>
      </w:pPr>
      <w:bookmarkStart w:id="96" w:name="fig:"/>
      <w:r>
        <w:drawing>
          <wp:inline>
            <wp:extent cx="5600700" cy="4573557"/>
            <wp:effectExtent b="0" l="0" r="0" t="0"/>
            <wp:docPr descr="Imagen 11: Estructura interna del flujo de trabajo FNA para el mantenimiento de las arquitecturas de referencia" title="" id="94" name="Picture"/>
            <a:graphic>
              <a:graphicData uri="http://schemas.openxmlformats.org/drawingml/2006/picture">
                <pic:pic>
                  <pic:nvPicPr>
                    <pic:cNvPr descr="images/flujoarqref2.png" id="95" name="Picture"/>
                    <pic:cNvPicPr>
                      <a:picLocks noChangeArrowheads="1" noChangeAspect="1"/>
                    </pic:cNvPicPr>
                  </pic:nvPicPr>
                  <pic:blipFill>
                    <a:blip r:embed="rId93"/>
                    <a:stretch>
                      <a:fillRect/>
                    </a:stretch>
                  </pic:blipFill>
                  <pic:spPr bwMode="auto">
                    <a:xfrm>
                      <a:off x="0" y="0"/>
                      <a:ext cx="5600700" cy="4573557"/>
                    </a:xfrm>
                    <a:prstGeom prst="rect">
                      <a:avLst/>
                    </a:prstGeom>
                    <a:noFill/>
                    <a:ln w="9525">
                      <a:noFill/>
                      <a:headEnd/>
                      <a:tailEnd/>
                    </a:ln>
                  </pic:spPr>
                </pic:pic>
              </a:graphicData>
            </a:graphic>
          </wp:inline>
        </w:drawing>
      </w:r>
      <w:bookmarkEnd w:id="96"/>
    </w:p>
    <w:p>
      <w:pPr>
        <w:pStyle w:val="ImageCaption"/>
      </w:pPr>
      <w:r>
        <w:t xml:space="preserve">Imagen 11: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a la arquitectura de referencia para los que funciona mejor este flujo de trabajo son los siguientes: transiciones, interfaces, reformas, integración y simplificación (también conocido como aumento de la confiabilidad).</w:t>
      </w:r>
    </w:p>
    <w:p>
      <w:pPr>
        <w:pStyle w:val="Textoindependiente"/>
      </w:pPr>
    </w:p>
    <w:bookmarkStart w:id="9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0"/>
        </w:numPr>
        <w:pStyle w:val="Compact"/>
      </w:pPr>
      <w:r>
        <w:t xml:space="preserve">Gestión de la pila de trabajo de arquitectura</w:t>
      </w:r>
    </w:p>
    <w:p>
      <w:pPr>
        <w:numPr>
          <w:ilvl w:val="0"/>
          <w:numId w:val="1010"/>
        </w:numPr>
        <w:pStyle w:val="Compact"/>
      </w:pPr>
      <w:r>
        <w:t xml:space="preserve">Medición del progreso del trabajo</w:t>
      </w:r>
    </w:p>
    <w:p>
      <w:pPr>
        <w:numPr>
          <w:ilvl w:val="0"/>
          <w:numId w:val="1010"/>
        </w:numPr>
        <w:pStyle w:val="Compact"/>
      </w:pPr>
      <w:r>
        <w:t xml:space="preserve">Exploración de riesgos técnicos de las arquitecturas de referencia</w:t>
      </w:r>
    </w:p>
    <w:p>
      <w:pPr>
        <w:numPr>
          <w:ilvl w:val="0"/>
          <w:numId w:val="1010"/>
        </w:numPr>
        <w:pStyle w:val="Compact"/>
      </w:pPr>
      <w:r>
        <w:t xml:space="preserve">Descomposición del trabajo</w:t>
      </w:r>
    </w:p>
    <w:p>
      <w:pPr>
        <w:numPr>
          <w:ilvl w:val="0"/>
          <w:numId w:val="1010"/>
        </w:numPr>
        <w:pStyle w:val="Compact"/>
      </w:pPr>
      <w:r>
        <w:t xml:space="preserve">Organización de elementos y modelamiento</w:t>
      </w:r>
    </w:p>
    <w:p>
      <w:pPr>
        <w:numPr>
          <w:ilvl w:val="0"/>
          <w:numId w:val="1010"/>
        </w:numPr>
        <w:pStyle w:val="Compact"/>
      </w:pPr>
      <w:r>
        <w:t xml:space="preserve">Emisión de transiciones de las arquitecturas de referencia ^*^</w:t>
      </w:r>
    </w:p>
    <w:p>
      <w:pPr>
        <w:pStyle w:val="FirstParagraph"/>
      </w:pPr>
      <w:r>
        <w:t xml:space="preserve">^*^ Este último de vital importancia para la gestión de la implementación de las arquitecturas de solución derivadas de las referencias del FNA.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1.1df8f74</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97"/>
    <w:bookmarkEnd w:id="98"/>
    <w:bookmarkStart w:id="9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1"/>
        </w:numPr>
        <w:pStyle w:val="Compact"/>
      </w:pPr>
      <w:r>
        <w:t xml:space="preserve">Arquitectura incremental</w:t>
      </w:r>
    </w:p>
    <w:p>
      <w:pPr>
        <w:numPr>
          <w:ilvl w:val="0"/>
          <w:numId w:val="1011"/>
        </w:numPr>
        <w:pStyle w:val="Compact"/>
      </w:pPr>
      <w:r>
        <w:t xml:space="preserve">Verificación continua de arquitecturas</w:t>
      </w:r>
    </w:p>
    <w:p>
      <w:pPr>
        <w:numPr>
          <w:ilvl w:val="0"/>
          <w:numId w:val="1011"/>
        </w:numPr>
        <w:pStyle w:val="Compact"/>
      </w:pPr>
      <w:r>
        <w:t xml:space="preserve">Generación contínua de arquitecturas</w:t>
      </w:r>
    </w:p>
    <w:p>
      <w:pPr>
        <w:numPr>
          <w:ilvl w:val="0"/>
          <w:numId w:val="1011"/>
        </w:numPr>
        <w:pStyle w:val="Compact"/>
      </w:pPr>
      <w:r>
        <w:t xml:space="preserve">Diseños enfocado (baja granularidad) –evite diseños de largo plazo</w:t>
      </w:r>
    </w:p>
    <w:p>
      <w:pPr>
        <w:numPr>
          <w:ilvl w:val="0"/>
          <w:numId w:val="1011"/>
        </w:numPr>
        <w:pStyle w:val="Compact"/>
      </w:pPr>
      <w:r>
        <w:t xml:space="preserve">Coautoría de trabajo con interesados</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1.1df8f74</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99"/>
    <w:bookmarkStart w:id="100"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1.1df8f74</w:t>
      </w:r>
    </w:p>
    <w:p>
      <w:pPr>
        <w:pStyle w:val="FirstParagraph"/>
      </w:pPr>
    </w:p>
    <w:bookmarkEnd w:id="100"/>
    <w:bookmarkStart w:id="10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101"/>
    <w:bookmarkStart w:id="102"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102"/>
    <w:bookmarkStart w:id="103"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0.1 de la Arquitectura de Referencia 2.0 del FNA</w:t>
      </w:r>
    </w:p>
    <w:p>
      <w:pPr>
        <w:pStyle w:val="FirstParagraph"/>
      </w:pPr>
    </w:p>
    <w:bookmarkEnd w:id="103"/>
    <w:bookmarkStart w:id="108"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107" w:name="modelo-de-implementación-del-pry02-2"/>
    <w:p>
      <w:pPr>
        <w:pStyle w:val="Ttulo2"/>
      </w:pPr>
      <w:r>
        <w:t xml:space="preserve">Modelo de Implementación del PRY02</w:t>
      </w:r>
    </w:p>
    <w:bookmarkStart w:id="0" w:name="fig:0adc1d30-f436-4c68-a8b6-f8777067fbba"/>
    <w:p>
      <w:pPr>
        <w:pStyle w:val="CaptionedFigure"/>
      </w:pPr>
      <w:bookmarkStart w:id="106" w:name="fig:"/>
      <w:r>
        <w:drawing>
          <wp:inline>
            <wp:extent cx="5600700" cy="4264411"/>
            <wp:effectExtent b="0" l="0" r="0" t="0"/>
            <wp:docPr descr="Imagen 12: Plan de Implementación del Proyecto Hoja de Ruta E-Service FNA, 2023. Abril 2023 a Agosto 2023" title="" id="104" name="Picture"/>
            <a:graphic>
              <a:graphicData uri="http://schemas.openxmlformats.org/drawingml/2006/picture">
                <pic:pic>
                  <pic:nvPicPr>
                    <pic:cNvPr descr="images/pry2.png" id="105"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06"/>
    </w:p>
    <w:p>
      <w:pPr>
        <w:pStyle w:val="ImageCaption"/>
      </w:pPr>
      <w:r>
        <w:t xml:space="preserve">Imagen 12: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1.1df8f74</w:t>
      </w:r>
    </w:p>
    <w:p>
      <w:pPr>
        <w:pStyle w:val="FirstParagraph"/>
      </w:pPr>
    </w:p>
    <w:bookmarkEnd w:id="107"/>
    <w:bookmarkEnd w:id="108"/>
    <w:bookmarkStart w:id="122"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9"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109"/>
    <w:bookmarkStart w:id="110" w:name="contenidos-4"/>
    <w:p>
      <w:pPr>
        <w:pStyle w:val="Ttulo2"/>
      </w:pPr>
      <w:r>
        <w:t xml:space="preserve">Contenidos</w:t>
      </w:r>
    </w:p>
    <w:p>
      <w:pPr>
        <w:numPr>
          <w:ilvl w:val="0"/>
          <w:numId w:val="1014"/>
        </w:numPr>
        <w:pStyle w:val="Compact"/>
      </w:pPr>
      <w:r>
        <w:t xml:space="preserve">Análisis de los elementos del modelo de la arquitectura de referencia SOA 2.0 del FNA</w:t>
      </w:r>
    </w:p>
    <w:p>
      <w:pPr>
        <w:numPr>
          <w:ilvl w:val="0"/>
          <w:numId w:val="1014"/>
        </w:numPr>
        <w:pStyle w:val="Compact"/>
      </w:pPr>
      <w:r>
        <w:t xml:space="preserve">Repositorio de arquitectura del FNA actualizado con arquitectura de referencia</w:t>
      </w:r>
    </w:p>
    <w:p>
      <w:pPr>
        <w:numPr>
          <w:ilvl w:val="0"/>
          <w:numId w:val="1014"/>
        </w:numPr>
        <w:pStyle w:val="Compact"/>
      </w:pPr>
      <w:r>
        <w:t xml:space="preserve">Documentación técnica 0.2 de la arquitectura de referencia SOA</w:t>
      </w:r>
    </w:p>
    <w:p>
      <w:pPr>
        <w:numPr>
          <w:ilvl w:val="0"/>
          <w:numId w:val="1014"/>
        </w:numPr>
        <w:pStyle w:val="Compact"/>
      </w:pPr>
      <w:r>
        <w:t xml:space="preserve">Proceso de mantenimiento de la arquitectura de referencia SOA 2.0 del FNA</w:t>
      </w:r>
    </w:p>
    <w:p>
      <w:pPr>
        <w:pStyle w:val="FirstParagraph"/>
      </w:pPr>
    </w:p>
    <w:bookmarkEnd w:id="110"/>
    <w:bookmarkStart w:id="111" w:name="criterios-de-aceptación-3"/>
    <w:p>
      <w:pPr>
        <w:pStyle w:val="Ttulo2"/>
      </w:pPr>
      <w:r>
        <w:t xml:space="preserve">Criterios de Aceptación</w:t>
      </w:r>
    </w:p>
    <w:p>
      <w:pPr>
        <w:numPr>
          <w:ilvl w:val="0"/>
          <w:numId w:val="1015"/>
        </w:numPr>
        <w:pStyle w:val="Compact"/>
      </w:pPr>
      <w:r>
        <w:t xml:space="preserve">Repositorio de arquitectura del FNA actualizado con arquitectura de referencia</w:t>
      </w:r>
    </w:p>
    <w:p>
      <w:pPr>
        <w:numPr>
          <w:ilvl w:val="0"/>
          <w:numId w:val="1015"/>
        </w:numPr>
        <w:pStyle w:val="Compact"/>
      </w:pPr>
      <w:r>
        <w:t xml:space="preserve">Entendimiento del proceso de mantenimiento de la arquitectura de referencia SOA 2.0 del FNA y sus implicaciones</w:t>
      </w:r>
    </w:p>
    <w:p>
      <w:pPr>
        <w:pStyle w:val="FirstParagraph"/>
      </w:pPr>
    </w:p>
    <w:bookmarkEnd w:id="111"/>
    <w:bookmarkStart w:id="116" w:name="X2260ad506a532d59ca3165e327d1d5490ed12e5"/>
    <w:p>
      <w:pPr>
        <w:pStyle w:val="Ttulo2"/>
      </w:pPr>
      <w:r>
        <w:t xml:space="preserve">Repositorio de Arquitectura del FNA, versión 0.1</w:t>
      </w:r>
    </w:p>
    <w:bookmarkStart w:id="0" w:name="fig:dd18ac72-bc64-4eb3-a424-c4ffbc6ade3d"/>
    <w:p>
      <w:pPr>
        <w:pStyle w:val="CaptionedFigure"/>
      </w:pPr>
      <w:bookmarkStart w:id="115" w:name="fig:"/>
      <w:r>
        <w:drawing>
          <wp:inline>
            <wp:extent cx="5600700" cy="2790366"/>
            <wp:effectExtent b="0" l="0" r="0" t="0"/>
            <wp:docPr descr="Imagen 13: Artefactos del repositorio de arquitectura del FNA." title="" id="113" name="Picture"/>
            <a:graphic>
              <a:graphicData uri="http://schemas.openxmlformats.org/drawingml/2006/picture">
                <pic:pic>
                  <pic:nvPicPr>
                    <pic:cNvPr descr="images/repofna.png" id="114" name="Picture"/>
                    <pic:cNvPicPr>
                      <a:picLocks noChangeArrowheads="1" noChangeAspect="1"/>
                    </pic:cNvPicPr>
                  </pic:nvPicPr>
                  <pic:blipFill>
                    <a:blip r:embed="rId112"/>
                    <a:stretch>
                      <a:fillRect/>
                    </a:stretch>
                  </pic:blipFill>
                  <pic:spPr bwMode="auto">
                    <a:xfrm>
                      <a:off x="0" y="0"/>
                      <a:ext cx="5600700" cy="2790366"/>
                    </a:xfrm>
                    <a:prstGeom prst="rect">
                      <a:avLst/>
                    </a:prstGeom>
                    <a:noFill/>
                    <a:ln w="9525">
                      <a:noFill/>
                      <a:headEnd/>
                      <a:tailEnd/>
                    </a:ln>
                  </pic:spPr>
                </pic:pic>
              </a:graphicData>
            </a:graphic>
          </wp:inline>
        </w:drawing>
      </w:r>
      <w:bookmarkEnd w:id="115"/>
    </w:p>
    <w:p>
      <w:pPr>
        <w:pStyle w:val="ImageCaption"/>
      </w:pPr>
      <w:r>
        <w:t xml:space="preserve">Imagen 13: Artefactos del repositorio de arquitectura del FNA.</w:t>
      </w:r>
    </w:p>
    <w:bookmarkEnd w:id="0"/>
    <w:p>
      <w:pPr>
        <w:pStyle w:val="Textoindependiente"/>
      </w:pPr>
      <w:r>
        <w:rPr>
          <w:iCs/>
          <w:i/>
        </w:rPr>
        <w:t xml:space="preserve">Fuente: Diagnóstico SOA. E-Service (2022).</w:t>
      </w:r>
    </w:p>
    <w:bookmarkEnd w:id="116"/>
    <w:bookmarkStart w:id="121" w:name="modelo-de-implementación-del-pry02-3"/>
    <w:p>
      <w:pPr>
        <w:pStyle w:val="Ttulo2"/>
      </w:pPr>
      <w:r>
        <w:t xml:space="preserve">Modelo de Implementación del PRY02</w:t>
      </w:r>
    </w:p>
    <w:bookmarkStart w:id="0" w:name="fig:f7bfbb5a-724a-48a6-bd9f-08681e475eb4"/>
    <w:p>
      <w:pPr>
        <w:pStyle w:val="CaptionedFigure"/>
      </w:pPr>
      <w:bookmarkStart w:id="120" w:name="fig:"/>
      <w:r>
        <w:drawing>
          <wp:inline>
            <wp:extent cx="5600700" cy="4499951"/>
            <wp:effectExtent b="0" l="0" r="0" t="0"/>
            <wp:docPr descr="Imagen 14: Plan de Implementación del Proyecto Arquitectura de Referencia SOA 2.0 del FNA (PRY02), 2023. Junio 2023 a julio 2023" title="" id="118" name="Picture"/>
            <a:graphic>
              <a:graphicData uri="http://schemas.openxmlformats.org/drawingml/2006/picture">
                <pic:pic>
                  <pic:nvPicPr>
                    <pic:cNvPr descr="images/pry1gobierno.jpg" id="119" name="Picture"/>
                    <pic:cNvPicPr>
                      <a:picLocks noChangeArrowheads="1" noChangeAspect="1"/>
                    </pic:cNvPicPr>
                  </pic:nvPicPr>
                  <pic:blipFill>
                    <a:blip r:embed="rId117"/>
                    <a:stretch>
                      <a:fillRect/>
                    </a:stretch>
                  </pic:blipFill>
                  <pic:spPr bwMode="auto">
                    <a:xfrm>
                      <a:off x="0" y="0"/>
                      <a:ext cx="5600700" cy="4499951"/>
                    </a:xfrm>
                    <a:prstGeom prst="rect">
                      <a:avLst/>
                    </a:prstGeom>
                    <a:noFill/>
                    <a:ln w="9525">
                      <a:noFill/>
                      <a:headEnd/>
                      <a:tailEnd/>
                    </a:ln>
                  </pic:spPr>
                </pic:pic>
              </a:graphicData>
            </a:graphic>
          </wp:inline>
        </w:drawing>
      </w:r>
      <w:bookmarkEnd w:id="120"/>
    </w:p>
    <w:p>
      <w:pPr>
        <w:pStyle w:val="ImageCaption"/>
      </w:pPr>
      <w:r>
        <w:t xml:space="preserve">Imagen 14: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21"/>
    <w:bookmarkEnd w:id="122"/>
    <w:bookmarkStart w:id="127" w:name="referencias"/>
    <w:p>
      <w:pPr>
        <w:pStyle w:val="Ttulo1"/>
      </w:pPr>
      <w:r>
        <w:t xml:space="preserve">Referencias</w:t>
      </w:r>
    </w:p>
    <w:bookmarkStart w:id="123" w:name="refs"/>
    <w:p>
      <w:pPr>
        <w:pStyle w:val="Bibliography"/>
      </w:pPr>
      <w:r>
        <w:t xml:space="preserve">E-Service. Situación SOA Actual del FNA. Etapa I. (2022).</w:t>
      </w:r>
    </w:p>
    <w:bookmarkEnd w:id="123"/>
    <w:bookmarkStart w:id="124" w:name="refs"/>
    <w:p>
      <w:pPr>
        <w:pStyle w:val="Bibliography"/>
      </w:pPr>
      <w:r>
        <w:t xml:space="preserve">E-Service. Arquitectura de Referencia del FNA. Etapa II. (2023).</w:t>
      </w:r>
    </w:p>
    <w:bookmarkEnd w:id="124"/>
    <w:bookmarkStart w:id="125" w:name="refs"/>
    <w:p>
      <w:pPr>
        <w:pStyle w:val="Bibliography"/>
      </w:pPr>
      <w:r>
        <w:t xml:space="preserve">E-Service. Hoja de Ruta e Iniciativas. Etapa III. (2023).</w:t>
      </w:r>
    </w:p>
    <w:bookmarkEnd w:id="125"/>
    <w:bookmarkStart w:id="126" w:name="refs"/>
    <w:p>
      <w:pPr>
        <w:pStyle w:val="Bibliography"/>
      </w:pPr>
      <w:r>
        <w:t xml:space="preserve">TOGAF 9.1. Risk Management (2023). En https://pubs.opengroup.org/architecture/togaf9-doc/arch/chap27.html</w:t>
      </w:r>
    </w:p>
    <w:bookmarkEnd w:id="126"/>
    <w:bookmarkEnd w:id="12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17" Target="media/rId117.jpg" /><Relationship Type="http://schemas.openxmlformats.org/officeDocument/2006/relationships/image" Id="rId35" Target="media/rId35.png" /><Relationship Type="http://schemas.openxmlformats.org/officeDocument/2006/relationships/image" Id="rId112" Target="media/rId112.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1df8f74aa0b623a5dba6f2a23f9107b491cca41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1df8f74aa0b623a5dba6f2a23f9107b491cca41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2023-07-20T21:09:33Z</dcterms:created>
  <dcterms:modified xsi:type="dcterms:W3CDTF">2023-07-20T21:09:33Z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