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STEF@7e8f798</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1.7e8f798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1.7e8f798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1.7e8f798</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d8ded1f6-4ff3-4bc8-b977-b80b3fe9c53e"/>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1.7e8f798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b3ede4d-13b8-4174-993c-0de63e0109c7"/>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9cd17c0-5153-4a6e-81a9-1ed371b255d0"/>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bff0971-9427-4c03-b846-1f8573057b28"/>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d858cba9-d8a9-4b67-b198-fa0b271e1913"/>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04c05f3b-4038-4620-9a69-ce300dccb62c"/>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f2021e00-bc98-4b12-a9d7-3825496b848b"/>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1.7e8f798</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Principaio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00a7b460-fcfe-4862-830c-38fae481b01e"/>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1.7e8f798</w:t>
      </w:r>
    </w:p>
    <w:p>
      <w:pPr>
        <w:pStyle w:val="FirstParagraph"/>
      </w:pPr>
    </w:p>
    <w:bookmarkEnd w:id="83"/>
    <w:bookmarkEnd w:id="84"/>
    <w:bookmarkStart w:id="9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favorecer la adopción del estilo de arquitectura orientado a eventos para atender las funcionalidades y requerimientos de negocio, que para este proyecto son principales la vicepresidencia de operaciones y la vicepresidencia de crédito del FNA.</w:t>
      </w:r>
    </w:p>
    <w:p>
      <w:pPr>
        <w:pStyle w:val="Textoindependiente"/>
      </w:pPr>
    </w:p>
    <w:bookmarkStart w:id="85"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optiminzación de las arquitecturas de servicos SOA relacionadas con las apicaciones del FNA, y en concosrdancia con los análisis realizados en la Fase I, E-Service (2022). Esta permitirá, una vez modelada la arquitectura de referencia objeto de este proyecto, realizar las operaciones requeridas por el proyecto Gobierno SOA del FNA (PRY01, E-Service Fase II) a los segmentos y componentes base, principios, metodologías, estándares, lineamientos y tecnologías, con el fin de permitir a los usuarios interesados estar representados por las arquitecturas de solución derivadas y basadas en esta</w:t>
      </w:r>
      <w:r>
        <w:t xml:space="preserve"> </w:t>
      </w:r>
      <w:r>
        <w:t xml:space="preserve">‘</w:t>
      </w:r>
      <w:r>
        <w:t xml:space="preserve">plantilla</w:t>
      </w:r>
      <w:r>
        <w:t xml:space="preserve">’</w:t>
      </w:r>
      <w:r>
        <w:t xml:space="preserve"> </w:t>
      </w:r>
      <w:r>
        <w:t xml:space="preserve">y</w:t>
      </w:r>
      <w:r>
        <w:t xml:space="preserve"> </w:t>
      </w:r>
      <w:r>
        <w:t xml:space="preserve">‘</w:t>
      </w:r>
      <w:r>
        <w:t xml:space="preserve">hoja de ruta</w:t>
      </w:r>
      <w:r>
        <w:t xml:space="preserve">’</w:t>
      </w:r>
      <w:r>
        <w:t xml:space="preserve"> </w:t>
      </w:r>
      <w:r>
        <w:t xml:space="preserve">de la arquitectura del FNA.</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5"/>
    <w:bookmarkStart w:id="86" w:name="contenidos-2"/>
    <w:p>
      <w:pPr>
        <w:pStyle w:val="Ttulo2"/>
      </w:pPr>
      <w:r>
        <w:t xml:space="preserve">Contenidos</w:t>
      </w:r>
    </w:p>
    <w:p>
      <w:pPr>
        <w:numPr>
          <w:ilvl w:val="0"/>
          <w:numId w:val="1010"/>
        </w:numPr>
        <w:pStyle w:val="Compact"/>
      </w:pPr>
      <w:r>
        <w:t xml:space="preserve">Diseño y representación de la Arquitectura de Referencia 2.0 del FNA (Mega Hopex)</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6"/>
    <w:bookmarkStart w:id="87" w:name="criterios-de-aceptación-2"/>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87"/>
    <w:bookmarkStart w:id="91" w:name="modelo-de-implementación-del-pry02-2"/>
    <w:p>
      <w:pPr>
        <w:pStyle w:val="Ttulo2"/>
      </w:pPr>
      <w:r>
        <w:t xml:space="preserve">Modelo de Implementación del PRY02</w:t>
      </w:r>
    </w:p>
    <w:bookmarkStart w:id="0" w:name="fig:a0aaddb4-6934-4459-a283-e239bb203d2e"/>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e8f7987f40075ca4480c75e0e745f02a40cfec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e8f7987f40075ca4480c75e0e745f02a40cfec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2023-06-28T22:04:50Z</dcterms:created>
  <dcterms:modified xsi:type="dcterms:W3CDTF">2023-06-28T22:04:50Z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