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STEF@91a6f75</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1.91a6f75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0, PR10. Detalle de los ítems de la empresa FNA impactados por el proyecto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1.91a6f75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1.91a6f75</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f36ee212-291c-48cd-89a9-cc1bc5f60118"/>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1.91a6f75 del 02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7aacee59-cbd6-4f45-921f-4efb577eec28"/>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72a871d2-88c2-4381-aa03-987b958ef699"/>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dfd061a6-b673-481d-8237-587f1ca9832b"/>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b698fb36-ac2e-4d25-aea7-0022a2103773"/>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33e2561a-3925-4fb8-8b32-5341b5c4eac1"/>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e7355c5a-586c-4fc9-b358-2389ce4dd323"/>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91a6f75787c5490495fda8a96eebc6fe14fa594b/"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91a6f75787c5490495fda8a96eebc6fe14fa594b/"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de Referencia SOA 2.0 del FNA</dc:title>
  <dc:creator/>
  <dc:language>en-US</dc:language>
  <cp:keywords>SOA, madurez, gobierno, FNA</cp:keywords>
  <dcterms:created xsi:type="dcterms:W3CDTF">2023-08-02T17:05:23Z</dcterms:created>
  <dcterms:modified xsi:type="dcterms:W3CDTF">2023-08-02T17:05:23Z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