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103.jpg" ContentType="image/jpe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STEF@ae68d11</w:t>
        </w:r>
      </w:hyperlink>
      <w:r>
        <w:t xml:space="preserve"> </w:t>
      </w:r>
      <w:r>
        <w:t xml:space="preserve">del July 17, 2023.</w:t>
      </w:r>
      <w:r>
        <w:t xml:space="preserve"> </w:t>
      </w:r>
    </w:p>
    <w:p>
      <w:pPr>
        <w:pStyle w:val="Textoindependiente"/>
      </w:pPr>
      <w:r>
        <w:t xml:space="preserve">   </w:t>
      </w:r>
      <w:r>
        <w:rPr>
          <w:bCs/>
          <w:b/>
        </w:rPr>
        <w:t xml:space="preserve">Versión</w:t>
      </w:r>
      <w:r>
        <w:t xml:space="preserve"> </w:t>
      </w:r>
      <w:r>
        <w:t xml:space="preserve">del producto 1.ae68d11 de 17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1.ae68d11 del 17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1.ae68d11</w:t>
      </w:r>
    </w:p>
    <w:p>
      <w:pPr>
        <w:pStyle w:val="FirstParagraph"/>
      </w:pPr>
    </w:p>
    <w:bookmarkEnd w:id="31"/>
    <w:bookmarkStart w:id="42" w:name="producto-10"/>
    <w:p>
      <w:pPr>
        <w:pStyle w:val="Ttulo1"/>
      </w:pPr>
      <w:r>
        <w:t xml:space="preserve">Producto 10:</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be5ab2c6-8a33-46d6-b96a-a5b57c974981"/>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1.ae68d11 del 17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b9317131-24f4-428c-9ad3-f826a9e5b699"/>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7f272dca-9bcc-4b93-95c4-99580683de70"/>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1a531af6-f693-4021-96ff-8397a0bca372"/>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84938a13-e5ae-458f-b7c6-7f198d10c002"/>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9da229ee-9124-499a-a1cb-280c7c4effba"/>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4c242210-8557-4b08-b8ae-9c2f4be9bbc9"/>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1.ae68d11</w:t>
      </w:r>
    </w:p>
    <w:p>
      <w:pPr>
        <w:pStyle w:val="FirstParagraph"/>
      </w:pPr>
    </w:p>
    <w:bookmarkEnd w:id="75"/>
    <w:bookmarkEnd w:id="76"/>
    <w:bookmarkEnd w:id="77"/>
    <w:bookmarkStart w:id="86" w:name="producto-11"/>
    <w:p>
      <w:pPr>
        <w:pStyle w:val="Ttulo1"/>
      </w:pPr>
      <w:r>
        <w:t xml:space="preserve">Producto 11:</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8" w:name="justificación-1"/>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8"/>
    <w:bookmarkStart w:id="79" w:name="contenidos-2"/>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mantenimiento de la arquitectura de referencia (Oficina de arquitectura del FNA)</w:t>
      </w:r>
    </w:p>
    <w:p>
      <w:pPr>
        <w:numPr>
          <w:ilvl w:val="0"/>
          <w:numId w:val="1008"/>
        </w:numPr>
        <w:pStyle w:val="Compact"/>
      </w:pPr>
      <w:r>
        <w:t xml:space="preserve">Matriz de responsabilidades del mantenimiento de la arquitectura de referencia (Oficina de arquitectura del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80"/>
    <w:bookmarkStart w:id="85" w:name="modelo-de-implementación-del-pry02-1"/>
    <w:p>
      <w:pPr>
        <w:pStyle w:val="Ttulo2"/>
      </w:pPr>
      <w:r>
        <w:t xml:space="preserve">Modelo de Implementación del PRY02</w:t>
      </w:r>
    </w:p>
    <w:bookmarkStart w:id="0" w:name="fig:b9295bcf-b911-4b7b-ae96-08cce73be20f"/>
    <w:p>
      <w:pPr>
        <w:pStyle w:val="CaptionedFigure"/>
      </w:pPr>
      <w:bookmarkStart w:id="83" w:name="fig:"/>
      <w:r>
        <w:drawing>
          <wp:inline>
            <wp:extent cx="5600700" cy="4264411"/>
            <wp:effectExtent b="0" l="0" r="0" t="0"/>
            <wp:docPr descr="Imagen 9: Plan de Implementación del Proyecto Hoja de Ruta E-Service FNA, 2023. Abril 2023 a Agost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1.ae68d11</w:t>
            </w:r>
            <w:r>
              <w:t xml:space="preserve"> </w:t>
            </w:r>
            <w:r>
              <w:t xml:space="preserve">del 17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5"/>
    <w:bookmarkEnd w:id="86"/>
    <w:bookmarkStart w:id="87" w:name="X1be2101e89f9a0ce5552bd073e2a95b463c6b3f"/>
    <w:p>
      <w:pPr>
        <w:pStyle w:val="Ttulo1"/>
      </w:pPr>
      <w:r>
        <w:t xml:space="preserve">Flujo de trabajo del mantenimiento de la arquitectura de referencia (Oficina de arquitectura del FNA)</w:t>
      </w:r>
    </w:p>
    <w:p>
      <w:pPr>
        <w:numPr>
          <w:ilvl w:val="0"/>
          <w:numId w:val="1010"/>
        </w:numPr>
        <w:pStyle w:val="Compact"/>
      </w:pPr>
      <w:r>
        <w:t xml:space="preserve">Principios y operaciones de mantenimiento de la arquitectura de referencia (Oficina de arquitectura del FNA)</w:t>
      </w:r>
    </w:p>
    <w:p>
      <w:pPr>
        <w:numPr>
          <w:ilvl w:val="0"/>
          <w:numId w:val="1010"/>
        </w:numPr>
        <w:pStyle w:val="Compact"/>
      </w:pPr>
      <w:r>
        <w:t xml:space="preserve">Matriz de responsabilidades del mantenimiento de la arquitectura de referencia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1.ae68d11</w:t>
            </w:r>
            <w:r>
              <w:t xml:space="preserve"> </w:t>
            </w:r>
            <w:r>
              <w:t xml:space="preserve">del 17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7"/>
    <w:bookmarkStart w:id="88" w:name="X0fe8a40dd279fde371ed2180628fb5dd8ebd6ee"/>
    <w:p>
      <w:pPr>
        <w:pStyle w:val="Ttulo1"/>
      </w:pPr>
      <w:r>
        <w:t xml:space="preserve">Principios y operaciones de mantenimiento de la arquitectura de referencia (Oficina de arquitectura del FNA)</w:t>
      </w:r>
    </w:p>
    <w:p>
      <w:pPr>
        <w:numPr>
          <w:ilvl w:val="0"/>
          <w:numId w:val="1011"/>
        </w:numPr>
        <w:pStyle w:val="Compact"/>
      </w:pPr>
      <w:r>
        <w:t xml:space="preserve">Matriz de responsabilidades del mantenimiento de la arquitectura de referencia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1.ae68d11</w:t>
            </w:r>
            <w:r>
              <w:t xml:space="preserve"> </w:t>
            </w:r>
            <w:r>
              <w:t xml:space="preserve">del 17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8"/>
    <w:bookmarkStart w:id="89" w:name="X780134ca4858c4d09b47bcccc6cb021bde86579"/>
    <w:p>
      <w:pPr>
        <w:pStyle w:val="Ttulo1"/>
      </w:pPr>
      <w:r>
        <w:t xml:space="preserve">Matriz de responsabilidades del mantenimiento de la arquitectura de referencia (Oficina de arquitectura del FNA)</w:t>
      </w:r>
    </w:p>
    <w:p>
      <w:pPr>
        <w:pStyle w:val="FirstParagraph"/>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1.ae68d11</w:t>
      </w:r>
    </w:p>
    <w:p>
      <w:pPr>
        <w:pStyle w:val="FirstParagraph"/>
      </w:pPr>
    </w:p>
    <w:bookmarkEnd w:id="89"/>
    <w:bookmarkStart w:id="90" w:name="producto-12-pr12."/>
    <w:p>
      <w:pPr>
        <w:pStyle w:val="Ttulo1"/>
      </w:pPr>
      <w:r>
        <w:t xml:space="preserve">Producto 12: PR12.</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90"/>
    <w:bookmarkStart w:id="91" w:name="justificación-2"/>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91"/>
    <w:bookmarkStart w:id="92" w:name="contenidos-3"/>
    <w:p>
      <w:pPr>
        <w:pStyle w:val="Ttulo1"/>
      </w:pPr>
      <w:r>
        <w:t xml:space="preserve">Contenidos</w:t>
      </w:r>
    </w:p>
    <w:p>
      <w:pPr>
        <w:numPr>
          <w:ilvl w:val="0"/>
          <w:numId w:val="1012"/>
        </w:numPr>
        <w:pStyle w:val="Compact"/>
      </w:pPr>
      <w:r>
        <w:t xml:space="preserve">Diseño y representación de la Arquitectura de Referencia 2.0 del FNA</w:t>
      </w:r>
    </w:p>
    <w:p>
      <w:pPr>
        <w:numPr>
          <w:ilvl w:val="0"/>
          <w:numId w:val="1012"/>
        </w:numPr>
        <w:pStyle w:val="Compact"/>
      </w:pPr>
      <w:r>
        <w:t xml:space="preserve">Consideraciones para implementar la arquitectura de referencia</w:t>
      </w:r>
    </w:p>
    <w:p>
      <w:pPr>
        <w:numPr>
          <w:ilvl w:val="0"/>
          <w:numId w:val="1012"/>
        </w:numPr>
        <w:pStyle w:val="Compact"/>
      </w:pPr>
      <w:r>
        <w:t xml:space="preserve">Vistas lógicas y conceptuales de los sistemas de información</w:t>
      </w:r>
    </w:p>
    <w:p>
      <w:pPr>
        <w:numPr>
          <w:ilvl w:val="0"/>
          <w:numId w:val="1012"/>
        </w:numPr>
        <w:pStyle w:val="Compact"/>
      </w:pPr>
      <w:r>
        <w:t xml:space="preserve">Documentación técnica de la Arquitectura de Referencia 2.0 del FNA</w:t>
      </w:r>
    </w:p>
    <w:p>
      <w:pPr>
        <w:pStyle w:val="FirstParagraph"/>
      </w:pPr>
    </w:p>
    <w:bookmarkEnd w:id="92"/>
    <w:bookmarkStart w:id="97" w:name="criterios-de-aceptación-2"/>
    <w:p>
      <w:pPr>
        <w:pStyle w:val="Ttulo1"/>
      </w:pPr>
      <w:r>
        <w:t xml:space="preserve">Criterios de Aceptación</w:t>
      </w:r>
    </w:p>
    <w:p>
      <w:pPr>
        <w:numPr>
          <w:ilvl w:val="0"/>
          <w:numId w:val="1013"/>
        </w:numPr>
        <w:pStyle w:val="Compact"/>
      </w:pPr>
      <w:r>
        <w:t xml:space="preserve">Vistas lógicas y conceptuales de los sistemas de información</w:t>
      </w:r>
    </w:p>
    <w:p>
      <w:pPr>
        <w:numPr>
          <w:ilvl w:val="0"/>
          <w:numId w:val="1013"/>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96" w:name="modelo-de-implementación-del-pry02-2"/>
    <w:p>
      <w:pPr>
        <w:pStyle w:val="Ttulo2"/>
      </w:pPr>
      <w:r>
        <w:t xml:space="preserve">Modelo de Implementación del PRY02</w:t>
      </w:r>
    </w:p>
    <w:bookmarkStart w:id="0" w:name="fig:d31d9cd9-f001-4810-a8d9-a1405a528558"/>
    <w:p>
      <w:pPr>
        <w:pStyle w:val="CaptionedFigure"/>
      </w:pPr>
      <w:bookmarkStart w:id="95" w:name="fig:"/>
      <w:r>
        <w:drawing>
          <wp:inline>
            <wp:extent cx="5600700" cy="4264411"/>
            <wp:effectExtent b="0" l="0" r="0" t="0"/>
            <wp:docPr descr="Imagen 10: Plan de Implementación del Proyecto Hoja de Ruta E-Service FNA, 2023. Abril 2023 a Agosto 2023" title="" id="93" name="Picture"/>
            <a:graphic>
              <a:graphicData uri="http://schemas.openxmlformats.org/drawingml/2006/picture">
                <pic:pic>
                  <pic:nvPicPr>
                    <pic:cNvPr descr="images/pry2.png" id="94"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95"/>
    </w:p>
    <w:p>
      <w:pPr>
        <w:pStyle w:val="ImageCaption"/>
      </w:pPr>
      <w:r>
        <w:t xml:space="preserve">Imagen 10: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1.ae68d11</w:t>
      </w:r>
    </w:p>
    <w:p>
      <w:pPr>
        <w:pStyle w:val="FirstParagraph"/>
      </w:pPr>
    </w:p>
    <w:bookmarkEnd w:id="96"/>
    <w:bookmarkEnd w:id="97"/>
    <w:bookmarkStart w:id="108" w:name="producto-13-pr013."/>
    <w:p>
      <w:pPr>
        <w:pStyle w:val="Ttulo1"/>
      </w:pPr>
      <w:r>
        <w:t xml:space="preserve">Producto 13: PR013.</w:t>
      </w:r>
    </w:p>
    <w:p>
      <w:pPr>
        <w:pStyle w:val="FirstParagraph"/>
      </w:pPr>
      <w:r>
        <w:t xml:space="preserve">El principal entregable de este producto son los modelos de arquitevtura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Archimatye 3.0. Nota: distintos modelos de igual importancia que la arquitectura del FNA pueden estar representados en otros lenguajes de componentes, procesos de negocio, rndimiento, redes de comunicaciones.</w:t>
      </w:r>
    </w:p>
    <w:p>
      <w:pPr>
        <w:pStyle w:val="Textoindependiente"/>
      </w:pPr>
      <w:r>
        <w:t xml:space="preserve">Otro entregable primario de este producto es la documentación técnica inicial con la que denotamos a las espeficaciones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98" w:name="justificación-3"/>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posiblida de la aplicación de técnicas y creación de productos de ingeniería.</w:t>
      </w:r>
    </w:p>
    <w:bookmarkEnd w:id="98"/>
    <w:bookmarkStart w:id="99" w:name="contenidos-4"/>
    <w:p>
      <w:pPr>
        <w:pStyle w:val="Ttulo2"/>
      </w:pPr>
      <w:r>
        <w:t xml:space="preserve">Contenidos</w:t>
      </w:r>
    </w:p>
    <w:p>
      <w:pPr>
        <w:numPr>
          <w:ilvl w:val="0"/>
          <w:numId w:val="1014"/>
        </w:numPr>
        <w:pStyle w:val="Compact"/>
      </w:pPr>
      <w:r>
        <w:t xml:space="preserve">Detalle de ítems de la arquitectura de referencia SOA 2.0 del FNA</w:t>
      </w:r>
    </w:p>
    <w:p>
      <w:pPr>
        <w:numPr>
          <w:ilvl w:val="0"/>
          <w:numId w:val="1014"/>
        </w:numPr>
        <w:pStyle w:val="Compact"/>
      </w:pPr>
      <w:r>
        <w:t xml:space="preserve">Repositorio de arquitectura del FNA, actualizado, versión 0.5</w:t>
      </w:r>
    </w:p>
    <w:p>
      <w:pPr>
        <w:numPr>
          <w:ilvl w:val="0"/>
          <w:numId w:val="1014"/>
        </w:numPr>
        <w:pStyle w:val="Compact"/>
      </w:pPr>
      <w:r>
        <w:t xml:space="preserve">Herramienta de navegación del repositorio de arquitectura del FNA versión 0.2</w:t>
      </w:r>
    </w:p>
    <w:p>
      <w:pPr>
        <w:pStyle w:val="FirstParagraph"/>
      </w:pPr>
    </w:p>
    <w:bookmarkEnd w:id="99"/>
    <w:bookmarkStart w:id="100" w:name="criterios-de-aceptación-3"/>
    <w:p>
      <w:pPr>
        <w:pStyle w:val="Ttulo2"/>
      </w:pPr>
      <w:r>
        <w:t xml:space="preserve">Criterios de Aceptación</w:t>
      </w:r>
    </w:p>
    <w:p>
      <w:pPr>
        <w:numPr>
          <w:ilvl w:val="0"/>
          <w:numId w:val="1015"/>
        </w:numPr>
        <w:pStyle w:val="Compact"/>
      </w:pPr>
      <w:r>
        <w:t xml:space="preserve">Repositorio de arquitectura del FNA, actualizado, versión 0.2</w:t>
      </w:r>
    </w:p>
    <w:p>
      <w:pPr>
        <w:numPr>
          <w:ilvl w:val="0"/>
          <w:numId w:val="1015"/>
        </w:numPr>
        <w:pStyle w:val="Compact"/>
      </w:pPr>
      <w:r>
        <w:t xml:space="preserve">Herramienta de navegación del repositorio de arquitectura del FNA versión 0.2</w:t>
      </w:r>
    </w:p>
    <w:p>
      <w:pPr>
        <w:pStyle w:val="FirstParagraph"/>
      </w:pPr>
    </w:p>
    <w:bookmarkEnd w:id="100"/>
    <w:bookmarkStart w:id="102" w:name="X2260ad506a532d59ca3165e327d1d5490ed12e5"/>
    <w:p>
      <w:pPr>
        <w:pStyle w:val="Ttulo2"/>
      </w:pPr>
      <w:r>
        <w:t xml:space="preserve">Repositorio de Arquitectura del FNA, versión 0.1</w:t>
      </w:r>
    </w:p>
    <w:bookmarkStart w:id="0" w:name="fig:84c3ca86-4ef1-4fb1-91a1-b6c4862d998a"/>
    <w:p>
      <w:pPr>
        <w:pStyle w:val="FirstParagraph"/>
      </w:pPr>
      <w:bookmarkStart w:id="101" w:name="fig:"/>
      <w:r>
        <w:t xml:space="preserve">Imagen 11: Artefactos del repositorio de arquitectura del FNA.</w:t>
      </w:r>
      <w:bookmarkEnd w:id="101"/>
    </w:p>
    <w:bookmarkEnd w:id="0"/>
    <w:p>
      <w:pPr>
        <w:pStyle w:val="Textoindependiente"/>
      </w:pPr>
      <w:r>
        <w:rPr>
          <w:iCs/>
          <w:i/>
        </w:rPr>
        <w:t xml:space="preserve">Fuente: Diagnóstico SOA. E-Service (2022).</w:t>
      </w:r>
    </w:p>
    <w:bookmarkEnd w:id="102"/>
    <w:bookmarkStart w:id="107" w:name="modelo-de-implementación-del-pry02-3"/>
    <w:p>
      <w:pPr>
        <w:pStyle w:val="Ttulo2"/>
      </w:pPr>
      <w:r>
        <w:t xml:space="preserve">Modelo de Implementación del PRY02</w:t>
      </w:r>
    </w:p>
    <w:bookmarkStart w:id="0" w:name="fig:77457906-8c8b-4aa7-bf43-3c1f5b152cc9"/>
    <w:p>
      <w:pPr>
        <w:pStyle w:val="CaptionedFigure"/>
      </w:pPr>
      <w:bookmarkStart w:id="106" w:name="fig:"/>
      <w:r>
        <w:drawing>
          <wp:inline>
            <wp:extent cx="5600700" cy="4499951"/>
            <wp:effectExtent b="0" l="0" r="0" t="0"/>
            <wp:docPr descr="Imagen 12: Plan de Implementación del Proyecto Arquitectura de Referencia SOA 2.0 del FNA (PRY02), 2023. Junio 2023 a julio 2023" title="" id="104" name="Picture"/>
            <a:graphic>
              <a:graphicData uri="http://schemas.openxmlformats.org/drawingml/2006/picture">
                <pic:pic>
                  <pic:nvPicPr>
                    <pic:cNvPr descr="images/pry1gobierno.jpg" id="105" name="Picture"/>
                    <pic:cNvPicPr>
                      <a:picLocks noChangeArrowheads="1" noChangeAspect="1"/>
                    </pic:cNvPicPr>
                  </pic:nvPicPr>
                  <pic:blipFill>
                    <a:blip r:embed="rId103"/>
                    <a:stretch>
                      <a:fillRect/>
                    </a:stretch>
                  </pic:blipFill>
                  <pic:spPr bwMode="auto">
                    <a:xfrm>
                      <a:off x="0" y="0"/>
                      <a:ext cx="5600700" cy="4499951"/>
                    </a:xfrm>
                    <a:prstGeom prst="rect">
                      <a:avLst/>
                    </a:prstGeom>
                    <a:noFill/>
                    <a:ln w="9525">
                      <a:noFill/>
                      <a:headEnd/>
                      <a:tailEnd/>
                    </a:ln>
                  </pic:spPr>
                </pic:pic>
              </a:graphicData>
            </a:graphic>
          </wp:inline>
        </w:drawing>
      </w:r>
      <w:bookmarkEnd w:id="106"/>
    </w:p>
    <w:p>
      <w:pPr>
        <w:pStyle w:val="ImageCaption"/>
      </w:pPr>
      <w:r>
        <w:t xml:space="preserve">Imagen 12: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bookmarkEnd w:id="107"/>
    <w:bookmarkEnd w:id="108"/>
    <w:bookmarkStart w:id="113" w:name="referencias"/>
    <w:p>
      <w:pPr>
        <w:pStyle w:val="Ttulo1"/>
      </w:pPr>
      <w:r>
        <w:t xml:space="preserve">Referencias</w:t>
      </w:r>
    </w:p>
    <w:bookmarkStart w:id="109" w:name="refs"/>
    <w:p>
      <w:pPr>
        <w:pStyle w:val="Bibliography"/>
      </w:pPr>
      <w:r>
        <w:t xml:space="preserve">E-Service. Situación SOA Actual del FNA. Etapa I. (2022).</w:t>
      </w:r>
    </w:p>
    <w:bookmarkEnd w:id="109"/>
    <w:bookmarkStart w:id="110" w:name="refs"/>
    <w:p>
      <w:pPr>
        <w:pStyle w:val="Bibliography"/>
      </w:pPr>
      <w:r>
        <w:t xml:space="preserve">E-Service. Arquitectura de Referencia del FNA. Etapa II. (2023).</w:t>
      </w:r>
    </w:p>
    <w:bookmarkEnd w:id="110"/>
    <w:bookmarkStart w:id="111" w:name="refs"/>
    <w:p>
      <w:pPr>
        <w:pStyle w:val="Bibliography"/>
      </w:pPr>
      <w:r>
        <w:t xml:space="preserve">E-Service. Hoja de Ruta e Iniciativas. Etapa III. (2023).</w:t>
      </w:r>
    </w:p>
    <w:bookmarkEnd w:id="111"/>
    <w:bookmarkStart w:id="112" w:name="refs"/>
    <w:p>
      <w:pPr>
        <w:pStyle w:val="Bibliography"/>
      </w:pPr>
      <w:r>
        <w:t xml:space="preserve">TOGAF 9.1. Risk Management (2023). En https://pubs.opengroup.org/architecture/togaf9-doc/arch/chap27.html</w:t>
      </w:r>
    </w:p>
    <w:bookmarkEnd w:id="112"/>
    <w:bookmarkEnd w:id="11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103" Target="media/rId103.jp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ae68d11ee7bc2d3bd7d6560180e49e6f532c0f52/"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ae68d11ee7bc2d3bd7d6560180e49e6f532c0f52/"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2023-07-17T23:37:04Z</dcterms:created>
  <dcterms:modified xsi:type="dcterms:W3CDTF">2023-07-17T23:37:04Z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