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9.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STEF@b6a00b7</w:t>
        </w:r>
      </w:hyperlink>
      <w:r>
        <w:t xml:space="preserve"> </w:t>
      </w:r>
      <w:r>
        <w:t xml:space="preserve">del June 25, 2023.</w:t>
      </w:r>
      <w:r>
        <w:t xml:space="preserve"> </w:t>
      </w:r>
    </w:p>
    <w:p>
      <w:pPr>
        <w:pStyle w:val="Textoindependiente"/>
      </w:pPr>
      <w:r>
        <w:t xml:space="preserve">   </w:t>
      </w:r>
      <w:r>
        <w:rPr>
          <w:bCs/>
          <w:b/>
        </w:rPr>
        <w:t xml:space="preserve">Versión</w:t>
      </w:r>
      <w:r>
        <w:t xml:space="preserve"> </w:t>
      </w:r>
      <w:r>
        <w:t xml:space="preserve">del producto 1.b6a00b7 de 25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PR04 y PR05,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1.b6a00b7 del 25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25 Jun 2023</w:t>
      </w:r>
    </w:p>
    <w:p>
      <w:pPr>
        <w:pStyle w:val="Textodebloque"/>
      </w:pPr>
      <w:r>
        <w:rPr>
          <w:bCs/>
          <w:b/>
        </w:rPr>
        <w:t xml:space="preserve">Versión</w:t>
      </w:r>
      <w:r>
        <w:t xml:space="preserve"> </w:t>
      </w:r>
      <w:r>
        <w:t xml:space="preserve">1.b6a00b7</w:t>
      </w:r>
    </w:p>
    <w:p>
      <w:pPr>
        <w:pStyle w:val="FirstParagraph"/>
      </w:pPr>
    </w:p>
    <w:bookmarkEnd w:id="30"/>
    <w:bookmarkStart w:id="38" w:name="X0e95f30ab7708d0a2dddab2ec0ca0c7ae2c6f7a"/>
    <w:p>
      <w:pPr>
        <w:pStyle w:val="Ttulo1"/>
      </w:pPr>
      <w:r>
        <w:t xml:space="preserve">Producto 10: PR10. Detalle de los ítems de la empresa FNA impactados por el proyecto</w:t>
      </w:r>
    </w:p>
    <w:p>
      <w:pPr>
        <w:pStyle w:val="FirstParagraph"/>
      </w:pPr>
      <w:r>
        <w:t xml:space="preserve">Lista de las partes de la arquitectura actual del FNA relacionados con el diseño de la arquitectura de referencia SOA 2.0, objeto del proyecto.</w:t>
      </w:r>
    </w:p>
    <w:p>
      <w:pPr>
        <w:pStyle w:val="Textoindependiente"/>
      </w:pPr>
      <w:r>
        <w:rPr>
          <w:bCs/>
          <w:b/>
        </w:rPr>
        <w:t xml:space="preserve">Nota</w:t>
      </w:r>
      <w:r>
        <w:t xml:space="preserve">: el resultado de este producto está dirigido a cumplir los objetivos del proyecto PRY02. Arquitectura de Referencia SOA 2.0 del FNA. Contenido de los Productos Contractuales: desarrollo, sostenibilidad (gestión) de arquitectura de referencia.</w:t>
      </w:r>
    </w:p>
    <w:p>
      <w:pPr>
        <w:pStyle w:val="Textoindependiente"/>
      </w:pPr>
    </w:p>
    <w:bookmarkStart w:id="31" w:name="justificación"/>
    <w:p>
      <w:pPr>
        <w:pStyle w:val="Ttulo2"/>
      </w:pPr>
      <w:r>
        <w:t xml:space="preserve">Justificación</w:t>
      </w:r>
    </w:p>
    <w:p>
      <w:pPr>
        <w:pStyle w:val="FirstParagraph"/>
      </w:pPr>
      <w:r>
        <w:t xml:space="preserve">Adelantar la aprobación por parte del Fondo Naconal del Ahorro de los contenidos de los entregables del proyecto PRY02, en su Etapa 0, de la Hoja de Ruta E-Service, tal que garantice su continuidad y ejecución.</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 PRY02</w:t>
      </w:r>
    </w:p>
    <w:p>
      <w:pPr>
        <w:numPr>
          <w:ilvl w:val="0"/>
          <w:numId w:val="1002"/>
        </w:numPr>
        <w:pStyle w:val="Compact"/>
      </w:pPr>
      <w:r>
        <w:t xml:space="preserve">Justificación del segmento de la empresa requerido por el trabajo de arquitectura SOA de referencia 2.0</w:t>
      </w:r>
    </w:p>
    <w:p>
      <w:pPr>
        <w:numPr>
          <w:ilvl w:val="0"/>
          <w:numId w:val="1002"/>
        </w:numPr>
        <w:pStyle w:val="Compact"/>
      </w:pPr>
      <w:r>
        <w:t xml:space="preserve">Iniciativas y brechas sensibles al trabajo de arquitectura de referencia 2.0 (relación con E-Service, Fase I)</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Lista de los ítems de arquitectura y brechas críticas del trabajo atendidos por la arquitectura de referencia SOA 2.0 del FNA</w:t>
      </w:r>
    </w:p>
    <w:p>
      <w:pPr>
        <w:numPr>
          <w:ilvl w:val="0"/>
          <w:numId w:val="1003"/>
        </w:numPr>
        <w:pStyle w:val="Compact"/>
      </w:pPr>
      <w:r>
        <w:t xml:space="preserve">Descripción de los ítems del segmento de la empresa del proyecto 2 (PRY02), Arquitectura de Referencia SOA 2.0 del FNA. Contenido de los Productos Contractuales</w:t>
      </w:r>
    </w:p>
    <w:p>
      <w:pPr>
        <w:pStyle w:val="FirstParagraph"/>
      </w:pPr>
    </w:p>
    <w:bookmarkEnd w:id="33"/>
    <w:bookmarkStart w:id="37" w:name="modelo-de-implementación-del-pry02"/>
    <w:p>
      <w:pPr>
        <w:pStyle w:val="Ttulo2"/>
      </w:pPr>
      <w:r>
        <w:t xml:space="preserve">Modelo de Implementación del PRY02</w:t>
      </w:r>
    </w:p>
    <w:bookmarkStart w:id="0" w:name="fig:29f7599c-c64b-40a1-ac77-eeef083a5c54"/>
    <w:p>
      <w:pPr>
        <w:pStyle w:val="FirstParagraph"/>
      </w:pPr>
      <w:bookmarkStart w:id="34" w:name="fig:"/>
      <w:r>
        <w:t xml:space="preserve">Imagen 1: Plan de Implementación del Proyecto Hoja de Ruta E-Service FNA, 2023. Abril 2023 a Agosto 2023</w:t>
      </w:r>
      <w:bookmarkEnd w:id="34"/>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1.b6a00b7 del 25 Jun 2023</w:t>
            </w:r>
          </w:p>
        </w:tc>
      </w:tr>
      <w:tr>
        <w:tc>
          <w:tcPr/>
          <w:p>
            <w:pPr>
              <w:pStyle w:val="Compact"/>
              <w:jc w:val="left"/>
            </w:pPr>
            <w:r>
              <w:t xml:space="preserve">Vínculos</w:t>
            </w:r>
          </w:p>
        </w:tc>
        <w:tc>
          <w:tcPr/>
          <w:p>
            <w:pPr>
              <w:pStyle w:val="Compact"/>
              <w:jc w:val="left"/>
            </w:pPr>
            <w:hyperlink r:id="rId35">
              <w:r>
                <w:rPr>
                  <w:rStyle w:val="Hipervnculo"/>
                </w:rPr>
                <w:t xml:space="preserve">N001d. Ejecución Plan de Trabajo SOA</w:t>
              </w:r>
            </w:hyperlink>
            <w:r>
              <w:t xml:space="preserve">;</w:t>
            </w:r>
            <w:r>
              <w:t xml:space="preserve"> </w:t>
            </w:r>
            <w:hyperlink r:id="rId36">
              <w:r>
                <w:rPr>
                  <w:rStyle w:val="Hipervnculo"/>
                </w:rPr>
                <w:t xml:space="preserve">N003a. Procesos de Negocio FNA</w:t>
              </w:r>
            </w:hyperlink>
          </w:p>
        </w:tc>
      </w:tr>
    </w:tbl>
    <w:p>
      <w:pPr>
        <w:pStyle w:val="Textoindependiente"/>
      </w:pPr>
    </w:p>
    <w:bookmarkEnd w:id="37"/>
    <w:bookmarkEnd w:id="38"/>
    <w:bookmarkStart w:id="50" w:name="Xfec879a391e4be25250b3f76a221c11ca8d002a"/>
    <w:p>
      <w:pPr>
        <w:pStyle w:val="Ttulo1"/>
      </w:pPr>
      <w:r>
        <w:t xml:space="preserve">Vista de Contexto Fase II, E-Service, 2023 (181-2020)</w:t>
      </w:r>
    </w:p>
    <w:bookmarkStart w:id="44"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2" w:name="fig:1"/>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40" name="Picture"/>
            <a:graphic>
              <a:graphicData uri="http://schemas.openxmlformats.org/drawingml/2006/picture">
                <pic:pic>
                  <pic:nvPicPr>
                    <pic:cNvPr descr="images/segmentoFNAfaseII.jpg" id="41" name="Picture"/>
                    <pic:cNvPicPr>
                      <a:picLocks noChangeArrowheads="1" noChangeAspect="1"/>
                    </pic:cNvPicPr>
                  </pic:nvPicPr>
                  <pic:blipFill>
                    <a:blip r:embed="rId39"/>
                    <a:stretch>
                      <a:fillRect/>
                    </a:stretch>
                  </pic:blipFill>
                  <pic:spPr bwMode="auto">
                    <a:xfrm>
                      <a:off x="0" y="0"/>
                      <a:ext cx="5600700" cy="6506407"/>
                    </a:xfrm>
                    <a:prstGeom prst="rect">
                      <a:avLst/>
                    </a:prstGeom>
                    <a:noFill/>
                    <a:ln w="9525">
                      <a:noFill/>
                      <a:headEnd/>
                      <a:tailEnd/>
                    </a:ln>
                  </pic:spPr>
                </pic:pic>
              </a:graphicData>
            </a:graphic>
          </wp:inline>
        </w:drawing>
      </w:r>
      <w:bookmarkEnd w:id="42"/>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3">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4"/>
    <w:bookmarkStart w:id="49"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5"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5"/>
    <w:bookmarkStart w:id="46"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6"/>
    <w:bookmarkStart w:id="47"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7"/>
    <w:bookmarkStart w:id="48"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25 Jun 2023</w:t>
      </w:r>
    </w:p>
    <w:p>
      <w:pPr>
        <w:pStyle w:val="Textodebloque"/>
      </w:pPr>
      <w:r>
        <w:rPr>
          <w:bCs/>
          <w:b/>
        </w:rPr>
        <w:t xml:space="preserve">Versión</w:t>
      </w:r>
      <w:r>
        <w:t xml:space="preserve"> </w:t>
      </w:r>
      <w:r>
        <w:t xml:space="preserve">1.b6a00b7</w:t>
      </w:r>
    </w:p>
    <w:p>
      <w:pPr>
        <w:pStyle w:val="FirstParagraph"/>
      </w:pPr>
    </w:p>
    <w:bookmarkEnd w:id="48"/>
    <w:bookmarkEnd w:id="49"/>
    <w:bookmarkEnd w:id="50"/>
    <w:bookmarkStart w:id="56" w:name="producto-12"/>
    <w:p>
      <w:pPr>
        <w:pStyle w:val="Ttulo1"/>
      </w:pPr>
      <w:r>
        <w:t xml:space="preserve">Producto 12:</w:t>
      </w:r>
    </w:p>
    <w:p>
      <w:pPr>
        <w:pStyle w:val="FirstParagraph"/>
      </w:pPr>
      <w:r>
        <w:t xml:space="preserve">La arquitectura SOA de referencia SOA 2.0 del FNA, objeto de este proyecto, la forman las estructuras e integraciones de productos y servicios SOA. Esta arquitectura de referencia incorpora las mejores prácticas aceptadas del sector (cuáles), y es el soporte de entrega de tecnologías específicas. La arquitectura de referencia 2.0 del FNA es la línea base del FNA para la implementación de soluciones tecnológicas complejas.</w:t>
      </w:r>
    </w:p>
    <w:p>
      <w:pPr>
        <w:pStyle w:val="Textoindependiente"/>
      </w:pPr>
      <w:r>
        <w:t xml:space="preserve">(opcional) La Vicepresidencia de Tecnología y Transformación es la responsable de definir y evolucionar las arquitecturas de referencia tecnológicas, con el propósito de orientar el diseño de cualquier arquitectura de solución bajo parámetros, patrones y atributos de calidad definidos por la entidad, teniendo en cuenta los principios de diseño de servicios digitales, definidos en el Manual de Gobierno.</w:t>
      </w:r>
    </w:p>
    <w:p>
      <w:pPr>
        <w:pStyle w:val="Textoindependiente"/>
      </w:pPr>
    </w:p>
    <w:bookmarkStart w:id="51" w:name="justificación-1"/>
    <w:p>
      <w:pPr>
        <w:pStyle w:val="Ttulo2"/>
      </w:pPr>
      <w:r>
        <w:t xml:space="preserve">Justificación</w:t>
      </w:r>
    </w:p>
    <w:p>
      <w:pPr>
        <w:pStyle w:val="FirstParagraph"/>
      </w:pPr>
      <w:r>
        <w:t xml:space="preserve">La problemática a partir de la cual se planteó el producto 2, Arquitectura de Referencia 2.0 del Fondo Nacional del Ahorro (PR02), se relaciona con la prevalencia de fortalcer y optiminzar las arquitecturas de servicos SOA y apicaciones del FNA, de acuerdo con los análisis realizados en la Fase I, E-Service. Esta permitirá optimizar las arquitecturas de solución del FNA, analizando el conjunto de zonas y sus componentes base, principios, metodologías, estándares, lineamientos y tecnologías, con el fin de permitir a los usuarios interesados diseñar arquitecturas de soluciones, basados en estos conjuntos.</w:t>
      </w:r>
    </w:p>
    <w:bookmarkEnd w:id="51"/>
    <w:bookmarkStart w:id="52" w:name="contenidos-1"/>
    <w:p>
      <w:pPr>
        <w:pStyle w:val="Ttulo2"/>
      </w:pPr>
      <w:r>
        <w:t xml:space="preserve">Contenidos</w:t>
      </w:r>
    </w:p>
    <w:p>
      <w:pPr>
        <w:numPr>
          <w:ilvl w:val="0"/>
          <w:numId w:val="1008"/>
        </w:numPr>
        <w:pStyle w:val="Compact"/>
      </w:pPr>
      <w:r>
        <w:t xml:space="preserve">Diseño y representación de la Arquitectura de Referencia 2.0 del FNA (Mega Hopex)</w:t>
      </w:r>
    </w:p>
    <w:p>
      <w:pPr>
        <w:numPr>
          <w:ilvl w:val="0"/>
          <w:numId w:val="1008"/>
        </w:numPr>
        <w:pStyle w:val="Compact"/>
      </w:pPr>
      <w:r>
        <w:t xml:space="preserve">Consideraciones para implementar la arquitectura de referencia</w:t>
      </w:r>
    </w:p>
    <w:p>
      <w:pPr>
        <w:numPr>
          <w:ilvl w:val="0"/>
          <w:numId w:val="1008"/>
        </w:numPr>
        <w:pStyle w:val="Compact"/>
      </w:pPr>
      <w:r>
        <w:t xml:space="preserve">Vistas lógicas y conceptuales de los sistemas de información</w:t>
      </w:r>
    </w:p>
    <w:p>
      <w:pPr>
        <w:numPr>
          <w:ilvl w:val="0"/>
          <w:numId w:val="1008"/>
        </w:numPr>
        <w:pStyle w:val="Compact"/>
      </w:pPr>
      <w:r>
        <w:t xml:space="preserve">Documentación técnica de la Arquitectura de Referencia 2.0 del FNA</w:t>
      </w:r>
    </w:p>
    <w:bookmarkEnd w:id="52"/>
    <w:bookmarkStart w:id="53" w:name="criterios-de-aceptación-1"/>
    <w:p>
      <w:pPr>
        <w:pStyle w:val="Ttulo2"/>
      </w:pPr>
      <w:r>
        <w:t xml:space="preserve">Criterios de Aceptación</w:t>
      </w:r>
      <w:r>
        <w:t xml:space="preserve"> </w:t>
      </w:r>
    </w:p>
    <w:p>
      <w:pPr>
        <w:numPr>
          <w:ilvl w:val="0"/>
          <w:numId w:val="1009"/>
        </w:numPr>
        <w:pStyle w:val="Compact"/>
      </w:pPr>
      <w:r>
        <w:t xml:space="preserve">Vistas lógicas y conceptuales de los sistemas de información</w:t>
      </w:r>
    </w:p>
    <w:p>
      <w:pPr>
        <w:numPr>
          <w:ilvl w:val="0"/>
          <w:numId w:val="1009"/>
        </w:numPr>
        <w:pStyle w:val="Compact"/>
      </w:pPr>
      <w:r>
        <w:t xml:space="preserve">Validación de la Arquitectura de Referencia 2.0 del FNA [- Plantilla</w:t>
      </w:r>
      <w:r>
        <w:t xml:space="preserve"> </w:t>
      </w:r>
      <w:r>
        <w:t xml:space="preserve">“</w:t>
      </w:r>
      <w:r>
        <w:t xml:space="preserve">Gestión y Gobierno Arquitectura Empresarial (Mega Hopex) MIPG, MRAE, Marco Transformación Digital, TOGAF</w:t>
      </w:r>
      <w:r>
        <w:t xml:space="preserve">”</w:t>
      </w:r>
      <w:r>
        <w:t xml:space="preserve">]</w:t>
      </w:r>
    </w:p>
    <w:p>
      <w:pPr>
        <w:pStyle w:val="FirstParagraph"/>
      </w:pPr>
    </w:p>
    <w:bookmarkEnd w:id="53"/>
    <w:bookmarkStart w:id="55" w:name="modelo-de-implementación-del-pry02-1"/>
    <w:p>
      <w:pPr>
        <w:pStyle w:val="Ttulo2"/>
      </w:pPr>
      <w:r>
        <w:t xml:space="preserve">Modelo de Implementación del PRY02</w:t>
      </w:r>
    </w:p>
    <w:bookmarkStart w:id="0" w:name="fig:bb76372b-9b86-418d-b28b-1188900c1dd6"/>
    <w:p>
      <w:pPr>
        <w:pStyle w:val="FirstParagraph"/>
      </w:pPr>
      <w:bookmarkStart w:id="54" w:name="fig:"/>
      <w:r>
        <w:t xml:space="preserve">Imagen 3: Plan de Implementación del Proyecto Hoja de Ruta E-Service FNA, 2023. Abril 2023 a Agosto 2023</w:t>
      </w:r>
      <w:bookmarkEnd w:id="54"/>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55"/>
    <w:bookmarkEnd w:id="56"/>
    <w:bookmarkStart w:id="61" w:name="referencias"/>
    <w:p>
      <w:pPr>
        <w:pStyle w:val="Ttulo1"/>
      </w:pPr>
      <w:r>
        <w:t xml:space="preserve">Referencias</w:t>
      </w:r>
    </w:p>
    <w:bookmarkStart w:id="57" w:name="refs"/>
    <w:p>
      <w:pPr>
        <w:pStyle w:val="Bibliography"/>
      </w:pPr>
      <w:r>
        <w:t xml:space="preserve">E-Service. Situación SOA Actual del FNA. Etapa I. (2022).</w:t>
      </w:r>
    </w:p>
    <w:bookmarkEnd w:id="57"/>
    <w:bookmarkStart w:id="58" w:name="refs"/>
    <w:p>
      <w:pPr>
        <w:pStyle w:val="Bibliography"/>
      </w:pPr>
      <w:r>
        <w:t xml:space="preserve">E-Service. Arquitectura de Referencia del FNA. Etapa II. (2023).</w:t>
      </w:r>
    </w:p>
    <w:bookmarkEnd w:id="58"/>
    <w:bookmarkStart w:id="59" w:name="refs"/>
    <w:p>
      <w:pPr>
        <w:pStyle w:val="Bibliography"/>
      </w:pPr>
      <w:r>
        <w:t xml:space="preserve">E-Service. Hoja de Ruta e Iniciativas. Etapa III. (2023).</w:t>
      </w:r>
    </w:p>
    <w:bookmarkEnd w:id="59"/>
    <w:bookmarkStart w:id="60" w:name="refs"/>
    <w:p>
      <w:pPr>
        <w:pStyle w:val="Bibliography"/>
      </w:pPr>
      <w:r>
        <w:t xml:space="preserve">TOGAF 9.1. Risk Management (2023). En https://pubs.opengroup.org/architecture/togaf9-doc/arch/chap27.html</w:t>
      </w:r>
    </w:p>
    <w:bookmarkEnd w:id="60"/>
    <w:bookmarkEnd w:id="6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9" Target="media/rId39.jpg" /><Relationship Type="http://schemas.openxmlformats.org/officeDocument/2006/relationships/hyperlink" Id="rId29" Target="N03a%a20Vsta%20aSegenta%20SOA%20FNA.md" TargetMode="External" /><Relationship Type="http://schemas.openxmlformats.org/officeDocument/2006/relationships/hyperlink" Id="rId43"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b6a00b753554f6fe1c712ad447619dd442fdfc8e/"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5" Target="onenote:#N001d.sharepoint.com" TargetMode="External" /><Relationship Type="http://schemas.openxmlformats.org/officeDocument/2006/relationships/hyperlink" Id="rId36"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N03a%a20Vsta%20aSegenta%20SOA%20FNA.md" TargetMode="External" /><Relationship Type="http://schemas.openxmlformats.org/officeDocument/2006/relationships/hyperlink" Id="rId43"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2-e0/v/b6a00b753554f6fe1c712ad447619dd442fdfc8e/"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5" Target="onenote:#N001d.sharepoint.com" TargetMode="External" /><Relationship Type="http://schemas.openxmlformats.org/officeDocument/2006/relationships/hyperlink" Id="rId36"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2023-06-25T17:47:24Z</dcterms:created>
  <dcterms:modified xsi:type="dcterms:W3CDTF">2023-06-25T17:47:24Z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2023-06-25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