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119.png" ContentType="image/png"/>
  <Override PartName="/word/media/rId114.png" ContentType="image/png"/>
  <Override PartName="/word/media/rId124.png" ContentType="image/png"/>
  <Override PartName="/word/media/rId89.png" ContentType="image/png"/>
  <Override PartName="/word/media/rId93.png" ContentType="image/png"/>
  <Override PartName="/word/media/rId35.png" ContentType="image/png"/>
  <Override PartName="/word/media/rId43.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STEF@cde51ea</w:t>
        </w:r>
      </w:hyperlink>
      <w:r>
        <w:t xml:space="preserve"> </w:t>
      </w:r>
      <w:r>
        <w:t xml:space="preserve">del July 24, 2023.</w:t>
      </w:r>
      <w:r>
        <w:t xml:space="preserve"> </w:t>
      </w:r>
    </w:p>
    <w:p>
      <w:pPr>
        <w:pStyle w:val="Textoindependiente"/>
      </w:pPr>
      <w:r>
        <w:t xml:space="preserve">   </w:t>
      </w:r>
      <w:r>
        <w:rPr>
          <w:bCs/>
          <w:b/>
        </w:rPr>
        <w:t xml:space="preserve">Versión</w:t>
      </w:r>
      <w:r>
        <w:t xml:space="preserve"> </w:t>
      </w:r>
      <w:r>
        <w:t xml:space="preserve">del producto 1.cde51ea de 24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1.cde51ea del 24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1.cde51ea</w:t>
      </w:r>
    </w:p>
    <w:p>
      <w:pPr>
        <w:pStyle w:val="FirstParagraph"/>
      </w:pPr>
    </w:p>
    <w:bookmarkEnd w:id="31"/>
    <w:bookmarkStart w:id="42"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desarrollo, sostenibilidad (gestión) de arquitectura de referencia.</w:t>
      </w:r>
    </w:p>
    <w:p>
      <w:pPr>
        <w:pStyle w:val="Textoindependiente"/>
      </w:pPr>
    </w:p>
    <w:bookmarkStart w:id="32"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2"/>
    <w:bookmarkStart w:id="33" w:name="contenidos-1"/>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w:t>
      </w:r>
    </w:p>
    <w:p>
      <w:pPr>
        <w:pStyle w:val="FirstParagraph"/>
      </w:pPr>
    </w:p>
    <w:bookmarkEnd w:id="34"/>
    <w:bookmarkStart w:id="41" w:name="modelo-de-implementación-del-pry02"/>
    <w:p>
      <w:pPr>
        <w:pStyle w:val="Ttulo2"/>
      </w:pPr>
      <w:r>
        <w:t xml:space="preserve">Modelo de Implementación del PRY02</w:t>
      </w:r>
    </w:p>
    <w:bookmarkStart w:id="0" w:name="fig:d0e274f6-ef02-46d7-8f36-471b6b2c7929"/>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1.cde51ea del 24 Jul 2023</w:t>
            </w:r>
          </w:p>
        </w:tc>
      </w:tr>
      <w:tr>
        <w:tc>
          <w:tcPr/>
          <w:p>
            <w:pPr>
              <w:pStyle w:val="Compact"/>
              <w:jc w:val="left"/>
            </w:pPr>
            <w:r>
              <w:t xml:space="preserve">Vínculos</w:t>
            </w:r>
          </w:p>
        </w:tc>
        <w:tc>
          <w:tcPr/>
          <w:p>
            <w:pPr>
              <w:pStyle w:val="Compact"/>
              <w:jc w:val="left"/>
            </w:pPr>
            <w:hyperlink r:id="rId39">
              <w:r>
                <w:rPr>
                  <w:rStyle w:val="Hipervnculo"/>
                </w:rPr>
                <w:t xml:space="preserve">N001d. Ejecución Plan de Trabajo SOA</w:t>
              </w:r>
            </w:hyperlink>
            <w:r>
              <w:t xml:space="preserve">;</w:t>
            </w:r>
            <w:r>
              <w:t xml:space="preserve"> </w:t>
            </w:r>
            <w:hyperlink r:id="rId40">
              <w:r>
                <w:rPr>
                  <w:rStyle w:val="Hipervnculo"/>
                </w:rPr>
                <w:t xml:space="preserve">N003a. Procesos de Negocio FNA</w:t>
              </w:r>
            </w:hyperlink>
          </w:p>
        </w:tc>
      </w:tr>
    </w:tbl>
    <w:p>
      <w:pPr>
        <w:pStyle w:val="Textoindependiente"/>
      </w:pPr>
    </w:p>
    <w:bookmarkEnd w:id="41"/>
    <w:bookmarkEnd w:id="42"/>
    <w:bookmarkStart w:id="77" w:name="Xfec879a391e4be25250b3f76a221c11ca8d002a"/>
    <w:p>
      <w:pPr>
        <w:pStyle w:val="Ttulo1"/>
      </w:pPr>
      <w:r>
        <w:t xml:space="preserve">Vista de Contexto Fase II, E-Service, 2023 (181-2020)</w:t>
      </w:r>
    </w:p>
    <w:bookmarkStart w:id="47"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6"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4" name="Picture"/>
            <a:graphic>
              <a:graphicData uri="http://schemas.openxmlformats.org/drawingml/2006/picture">
                <pic:pic>
                  <pic:nvPicPr>
                    <pic:cNvPr descr="images/segmentoFNAfaseII.jpg" id="45" name="Picture"/>
                    <pic:cNvPicPr>
                      <a:picLocks noChangeArrowheads="1" noChangeAspect="1"/>
                    </pic:cNvPicPr>
                  </pic:nvPicPr>
                  <pic:blipFill>
                    <a:blip r:embed="rId43"/>
                    <a:stretch>
                      <a:fillRect/>
                    </a:stretch>
                  </pic:blipFill>
                  <pic:spPr bwMode="auto">
                    <a:xfrm>
                      <a:off x="0" y="0"/>
                      <a:ext cx="5600700" cy="6506407"/>
                    </a:xfrm>
                    <a:prstGeom prst="rect">
                      <a:avLst/>
                    </a:prstGeom>
                    <a:noFill/>
                    <a:ln w="9525">
                      <a:noFill/>
                      <a:headEnd/>
                      <a:tailEnd/>
                    </a:ln>
                  </pic:spPr>
                </pic:pic>
              </a:graphicData>
            </a:graphic>
          </wp:inline>
        </w:drawing>
      </w:r>
      <w:bookmarkEnd w:id="46"/>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7"/>
    <w:bookmarkStart w:id="76"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8"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8"/>
    <w:bookmarkStart w:id="49"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9"/>
    <w:bookmarkStart w:id="50"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50"/>
    <w:bookmarkStart w:id="75"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59f1fa1d-8381-44d8-ad94-0f2a83e7d1cb"/>
    <w:p>
      <w:pPr>
        <w:pStyle w:val="CaptionedFigure"/>
      </w:pPr>
      <w:bookmarkStart w:id="54" w:name="fig:"/>
      <w:r>
        <w:drawing>
          <wp:inline>
            <wp:extent cx="5600700" cy="3258526"/>
            <wp:effectExtent b="0" l="0" r="0" t="0"/>
            <wp:docPr descr="Imagen 3: E-Service" title="" id="52" name="Picture"/>
            <a:graphic>
              <a:graphicData uri="http://schemas.openxmlformats.org/drawingml/2006/picture">
                <pic:pic>
                  <pic:nvPicPr>
                    <pic:cNvPr descr="images/SegmentoSOAFNA.1.png" id="53" name="Picture"/>
                    <pic:cNvPicPr>
                      <a:picLocks noChangeArrowheads="1" noChangeAspect="1"/>
                    </pic:cNvPicPr>
                  </pic:nvPicPr>
                  <pic:blipFill>
                    <a:blip r:embed="rId51"/>
                    <a:stretch>
                      <a:fillRect/>
                    </a:stretch>
                  </pic:blipFill>
                  <pic:spPr bwMode="auto">
                    <a:xfrm>
                      <a:off x="0" y="0"/>
                      <a:ext cx="5600700" cy="3258526"/>
                    </a:xfrm>
                    <a:prstGeom prst="rect">
                      <a:avLst/>
                    </a:prstGeom>
                    <a:noFill/>
                    <a:ln w="9525">
                      <a:noFill/>
                      <a:headEnd/>
                      <a:tailEnd/>
                    </a:ln>
                  </pic:spPr>
                </pic:pic>
              </a:graphicData>
            </a:graphic>
          </wp:inline>
        </w:drawing>
      </w:r>
      <w:bookmarkEnd w:id="54"/>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18129fb7-fe33-4c03-8579-7ea21b0e053a"/>
    <w:p>
      <w:pPr>
        <w:pStyle w:val="CaptionedFigure"/>
      </w:pPr>
      <w:bookmarkStart w:id="58" w:name="fig:"/>
      <w:r>
        <w:drawing>
          <wp:inline>
            <wp:extent cx="5600700" cy="7690582"/>
            <wp:effectExtent b="0" l="0" r="0" t="0"/>
            <wp:docPr descr="Imagen 4: E-Service" title="" id="56" name="Picture"/>
            <a:graphic>
              <a:graphicData uri="http://schemas.openxmlformats.org/drawingml/2006/picture">
                <pic:pic>
                  <pic:nvPicPr>
                    <pic:cNvPr descr="images/SegmentoSOAFNA.2.png" id="57" name="Picture"/>
                    <pic:cNvPicPr>
                      <a:picLocks noChangeArrowheads="1" noChangeAspect="1"/>
                    </pic:cNvPicPr>
                  </pic:nvPicPr>
                  <pic:blipFill>
                    <a:blip r:embed="rId55"/>
                    <a:stretch>
                      <a:fillRect/>
                    </a:stretch>
                  </pic:blipFill>
                  <pic:spPr bwMode="auto">
                    <a:xfrm>
                      <a:off x="0" y="0"/>
                      <a:ext cx="5600700" cy="7690582"/>
                    </a:xfrm>
                    <a:prstGeom prst="rect">
                      <a:avLst/>
                    </a:prstGeom>
                    <a:noFill/>
                    <a:ln w="9525">
                      <a:noFill/>
                      <a:headEnd/>
                      <a:tailEnd/>
                    </a:ln>
                  </pic:spPr>
                </pic:pic>
              </a:graphicData>
            </a:graphic>
          </wp:inline>
        </w:drawing>
      </w:r>
      <w:bookmarkEnd w:id="58"/>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0b6fe7d6-a4d7-480d-b8be-19901514a75a"/>
    <w:p>
      <w:pPr>
        <w:pStyle w:val="CaptionedFigure"/>
      </w:pPr>
      <w:bookmarkStart w:id="62" w:name="fig:"/>
      <w:r>
        <w:drawing>
          <wp:inline>
            <wp:extent cx="5600700" cy="3882030"/>
            <wp:effectExtent b="0" l="0" r="0" t="0"/>
            <wp:docPr descr="Imagen 5: E-Service" title="" id="60" name="Picture"/>
            <a:graphic>
              <a:graphicData uri="http://schemas.openxmlformats.org/drawingml/2006/picture">
                <pic:pic>
                  <pic:nvPicPr>
                    <pic:cNvPr descr="images/SegmentoSOAFNA.3.png" id="61" name="Picture"/>
                    <pic:cNvPicPr>
                      <a:picLocks noChangeArrowheads="1" noChangeAspect="1"/>
                    </pic:cNvPicPr>
                  </pic:nvPicPr>
                  <pic:blipFill>
                    <a:blip r:embed="rId59"/>
                    <a:stretch>
                      <a:fillRect/>
                    </a:stretch>
                  </pic:blipFill>
                  <pic:spPr bwMode="auto">
                    <a:xfrm>
                      <a:off x="0" y="0"/>
                      <a:ext cx="5600700" cy="3882030"/>
                    </a:xfrm>
                    <a:prstGeom prst="rect">
                      <a:avLst/>
                    </a:prstGeom>
                    <a:noFill/>
                    <a:ln w="9525">
                      <a:noFill/>
                      <a:headEnd/>
                      <a:tailEnd/>
                    </a:ln>
                  </pic:spPr>
                </pic:pic>
              </a:graphicData>
            </a:graphic>
          </wp:inline>
        </w:drawing>
      </w:r>
      <w:bookmarkEnd w:id="62"/>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c5c79af7-905d-44a6-a426-7fd6b8bb12b0"/>
    <w:p>
      <w:pPr>
        <w:pStyle w:val="CaptionedFigure"/>
      </w:pPr>
      <w:bookmarkStart w:id="66" w:name="fig:"/>
      <w:r>
        <w:drawing>
          <wp:inline>
            <wp:extent cx="5600700" cy="5701722"/>
            <wp:effectExtent b="0" l="0" r="0" t="0"/>
            <wp:docPr descr="Imagen 6: E-Service" title="" id="64" name="Picture"/>
            <a:graphic>
              <a:graphicData uri="http://schemas.openxmlformats.org/drawingml/2006/picture">
                <pic:pic>
                  <pic:nvPicPr>
                    <pic:cNvPr descr="images/VistaCapacidadesFNA.1.png" id="65" name="Picture"/>
                    <pic:cNvPicPr>
                      <a:picLocks noChangeArrowheads="1" noChangeAspect="1"/>
                    </pic:cNvPicPr>
                  </pic:nvPicPr>
                  <pic:blipFill>
                    <a:blip r:embed="rId63"/>
                    <a:stretch>
                      <a:fillRect/>
                    </a:stretch>
                  </pic:blipFill>
                  <pic:spPr bwMode="auto">
                    <a:xfrm>
                      <a:off x="0" y="0"/>
                      <a:ext cx="5600700" cy="5701722"/>
                    </a:xfrm>
                    <a:prstGeom prst="rect">
                      <a:avLst/>
                    </a:prstGeom>
                    <a:noFill/>
                    <a:ln w="9525">
                      <a:noFill/>
                      <a:headEnd/>
                      <a:tailEnd/>
                    </a:ln>
                  </pic:spPr>
                </pic:pic>
              </a:graphicData>
            </a:graphic>
          </wp:inline>
        </w:drawing>
      </w:r>
      <w:bookmarkEnd w:id="66"/>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208828db-497a-4383-8a7d-2f320668ce87"/>
    <w:p>
      <w:pPr>
        <w:pStyle w:val="CaptionedFigure"/>
      </w:pPr>
      <w:bookmarkStart w:id="70" w:name="fig:"/>
      <w:r>
        <w:drawing>
          <wp:inline>
            <wp:extent cx="5600700" cy="6963628"/>
            <wp:effectExtent b="0" l="0" r="0" t="0"/>
            <wp:docPr descr="Imagen 7: E-Service" title="" id="68" name="Picture"/>
            <a:graphic>
              <a:graphicData uri="http://schemas.openxmlformats.org/drawingml/2006/picture">
                <pic:pic>
                  <pic:nvPicPr>
                    <pic:cNvPr descr="images/VistaCapacidadesFNA.1a.png" id="69" name="Picture"/>
                    <pic:cNvPicPr>
                      <a:picLocks noChangeArrowheads="1" noChangeAspect="1"/>
                    </pic:cNvPicPr>
                  </pic:nvPicPr>
                  <pic:blipFill>
                    <a:blip r:embed="rId67"/>
                    <a:stretch>
                      <a:fillRect/>
                    </a:stretch>
                  </pic:blipFill>
                  <pic:spPr bwMode="auto">
                    <a:xfrm>
                      <a:off x="0" y="0"/>
                      <a:ext cx="5600700" cy="6963628"/>
                    </a:xfrm>
                    <a:prstGeom prst="rect">
                      <a:avLst/>
                    </a:prstGeom>
                    <a:noFill/>
                    <a:ln w="9525">
                      <a:noFill/>
                      <a:headEnd/>
                      <a:tailEnd/>
                    </a:ln>
                  </pic:spPr>
                </pic:pic>
              </a:graphicData>
            </a:graphic>
          </wp:inline>
        </w:drawing>
      </w:r>
      <w:bookmarkEnd w:id="70"/>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f83dc0b6-0cd2-4430-ada1-50948aa2b31e"/>
    <w:p>
      <w:pPr>
        <w:pStyle w:val="CaptionedFigure"/>
      </w:pPr>
      <w:bookmarkStart w:id="74" w:name="fig:"/>
      <w:r>
        <w:drawing>
          <wp:inline>
            <wp:extent cx="5600700" cy="2295848"/>
            <wp:effectExtent b="0" l="0" r="0" t="0"/>
            <wp:docPr descr="Imagen 8: E-Service" title="" id="72" name="Picture"/>
            <a:graphic>
              <a:graphicData uri="http://schemas.openxmlformats.org/drawingml/2006/picture">
                <pic:pic>
                  <pic:nvPicPr>
                    <pic:cNvPr descr="images/VistaCapacidadesFNA.1b.png" id="73" name="Picture"/>
                    <pic:cNvPicPr>
                      <a:picLocks noChangeArrowheads="1" noChangeAspect="1"/>
                    </pic:cNvPicPr>
                  </pic:nvPicPr>
                  <pic:blipFill>
                    <a:blip r:embed="rId71"/>
                    <a:stretch>
                      <a:fillRect/>
                    </a:stretch>
                  </pic:blipFill>
                  <pic:spPr bwMode="auto">
                    <a:xfrm>
                      <a:off x="0" y="0"/>
                      <a:ext cx="5600700" cy="2295848"/>
                    </a:xfrm>
                    <a:prstGeom prst="rect">
                      <a:avLst/>
                    </a:prstGeom>
                    <a:noFill/>
                    <a:ln w="9525">
                      <a:noFill/>
                      <a:headEnd/>
                      <a:tailEnd/>
                    </a:ln>
                  </pic:spPr>
                </pic:pic>
              </a:graphicData>
            </a:graphic>
          </wp:inline>
        </w:drawing>
      </w:r>
      <w:bookmarkEnd w:id="74"/>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1.cde51ea</w:t>
      </w:r>
    </w:p>
    <w:p>
      <w:pPr>
        <w:pStyle w:val="FirstParagraph"/>
      </w:pPr>
    </w:p>
    <w:bookmarkEnd w:id="75"/>
    <w:bookmarkEnd w:id="76"/>
    <w:bookmarkEnd w:id="77"/>
    <w:bookmarkStart w:id="86"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8" w:name="justificación-1"/>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8"/>
    <w:bookmarkStart w:id="79" w:name="contenidos-2"/>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mantenimiento de la arquitectura de referencia (Oficina de Arquitectura del FNA)</w:t>
      </w:r>
    </w:p>
    <w:p>
      <w:pPr>
        <w:numPr>
          <w:ilvl w:val="0"/>
          <w:numId w:val="1008"/>
        </w:numPr>
        <w:pStyle w:val="Compact"/>
      </w:pPr>
      <w:r>
        <w:t xml:space="preserve">Matriz de responsabilidades del mantenimiento de la arquitectura de referencia (Oficina de Arquitectura del FNA)</w:t>
      </w:r>
    </w:p>
    <w:p>
      <w:pPr>
        <w:pStyle w:val="FirstParagraph"/>
      </w:pPr>
    </w:p>
    <w:bookmarkEnd w:id="79"/>
    <w:bookmarkStart w:id="80"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80"/>
    <w:bookmarkStart w:id="85" w:name="modelo-de-implementación-del-pry02-1"/>
    <w:p>
      <w:pPr>
        <w:pStyle w:val="Ttulo2"/>
      </w:pPr>
      <w:r>
        <w:t xml:space="preserve">Modelo de Implementación del PRY02</w:t>
      </w:r>
    </w:p>
    <w:bookmarkStart w:id="0" w:name="fig:29bda51e-9381-400a-84f5-e87d1dfebbb2"/>
    <w:p>
      <w:pPr>
        <w:pStyle w:val="CaptionedFigure"/>
      </w:pPr>
      <w:bookmarkStart w:id="83" w:name="fig:"/>
      <w:r>
        <w:drawing>
          <wp:inline>
            <wp:extent cx="5600700" cy="4264411"/>
            <wp:effectExtent b="0" l="0" r="0" t="0"/>
            <wp:docPr descr="Imagen 9: Plan de Implementación del Proyecto Hoja de Ruta E-Service FNA, 2023. Abril 2023 a Agosto 2023" title="" id="81" name="Picture"/>
            <a:graphic>
              <a:graphicData uri="http://schemas.openxmlformats.org/drawingml/2006/picture">
                <pic:pic>
                  <pic:nvPicPr>
                    <pic:cNvPr descr="images/pry2.png" id="82"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83"/>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1.cde51ea</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85"/>
    <w:bookmarkEnd w:id="86"/>
    <w:bookmarkStart w:id="87"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distición de la arquitecgtura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los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87"/>
    <w:bookmarkStart w:id="103"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88">
        <w:r>
          <w:rPr>
            <w:rStyle w:val="Hipervnculo"/>
          </w:rPr>
          <w:t xml:space="preserve">Flujos de trabajo FNA</w:t>
        </w:r>
      </w:hyperlink>
      <w:r>
        <w:t xml:space="preserve">).</w:t>
      </w:r>
    </w:p>
    <w:p>
      <w:pPr>
        <w:pStyle w:val="Textoindependiente"/>
      </w:pPr>
      <w:r>
        <w:t xml:space="preserve">Otra de las características que personalizan a este flujo, (código FLARQ03), de creción y mantenimiento de arquitecturas de referencia del FNA, es que este hace énfasis en la verificación de las arquiteturas, además de su centro que es la especificación de los requerimientos de las arquitecturas de referencia (primera actividad del flujo); característica aquella dirigida a enfrentar los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697f0813-4d0e-4db0-9d8a-fe7518d80886"/>
    <w:p>
      <w:pPr>
        <w:pStyle w:val="CaptionedFigure"/>
      </w:pPr>
      <w:bookmarkStart w:id="92" w:name="fig:"/>
      <w:r>
        <w:drawing>
          <wp:inline>
            <wp:extent cx="5600700" cy="4878524"/>
            <wp:effectExtent b="0" l="0" r="0" t="0"/>
            <wp:docPr descr="Imagen 10: FLARQ03. Flujo de Trabajo de nivel 1 del FNA para el mantenimiento de las arquitecturas de referencia" title="" id="90" name="Picture"/>
            <a:graphic>
              <a:graphicData uri="http://schemas.openxmlformats.org/drawingml/2006/picture">
                <pic:pic>
                  <pic:nvPicPr>
                    <pic:cNvPr descr="images/flujoarqref1.png" id="91" name="Picture"/>
                    <pic:cNvPicPr>
                      <a:picLocks noChangeArrowheads="1" noChangeAspect="1"/>
                    </pic:cNvPicPr>
                  </pic:nvPicPr>
                  <pic:blipFill>
                    <a:blip r:embed="rId89"/>
                    <a:stretch>
                      <a:fillRect/>
                    </a:stretch>
                  </pic:blipFill>
                  <pic:spPr bwMode="auto">
                    <a:xfrm>
                      <a:off x="0" y="0"/>
                      <a:ext cx="5600700" cy="4878524"/>
                    </a:xfrm>
                    <a:prstGeom prst="rect">
                      <a:avLst/>
                    </a:prstGeom>
                    <a:noFill/>
                    <a:ln w="9525">
                      <a:noFill/>
                      <a:headEnd/>
                      <a:tailEnd/>
                    </a:ln>
                  </pic:spPr>
                </pic:pic>
              </a:graphicData>
            </a:graphic>
          </wp:inline>
        </w:drawing>
      </w:r>
      <w:bookmarkEnd w:id="92"/>
    </w:p>
    <w:p>
      <w:pPr>
        <w:pStyle w:val="ImageCaption"/>
      </w:pPr>
      <w:r>
        <w:t xml:space="preserve">Imagen 10: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536eb67d-3199-4dc0-8d9b-74b89797192a"/>
    <w:p>
      <w:pPr>
        <w:pStyle w:val="CaptionedFigure"/>
      </w:pPr>
      <w:bookmarkStart w:id="96" w:name="fig:"/>
      <w:r>
        <w:drawing>
          <wp:inline>
            <wp:extent cx="5600700" cy="4573557"/>
            <wp:effectExtent b="0" l="0" r="0" t="0"/>
            <wp:docPr descr="Imagen 11: FLARQ03. Estructura interna del flujo de trabajo FNA para el mantenimiento de las arquitecturas de referencia" title="" id="94" name="Picture"/>
            <a:graphic>
              <a:graphicData uri="http://schemas.openxmlformats.org/drawingml/2006/picture">
                <pic:pic>
                  <pic:nvPicPr>
                    <pic:cNvPr descr="images/flujoarqref2.png" id="95" name="Picture"/>
                    <pic:cNvPicPr>
                      <a:picLocks noChangeArrowheads="1" noChangeAspect="1"/>
                    </pic:cNvPicPr>
                  </pic:nvPicPr>
                  <pic:blipFill>
                    <a:blip r:embed="rId93"/>
                    <a:stretch>
                      <a:fillRect/>
                    </a:stretch>
                  </pic:blipFill>
                  <pic:spPr bwMode="auto">
                    <a:xfrm>
                      <a:off x="0" y="0"/>
                      <a:ext cx="5600700" cy="4573557"/>
                    </a:xfrm>
                    <a:prstGeom prst="rect">
                      <a:avLst/>
                    </a:prstGeom>
                    <a:noFill/>
                    <a:ln w="9525">
                      <a:noFill/>
                      <a:headEnd/>
                      <a:tailEnd/>
                    </a:ln>
                  </pic:spPr>
                </pic:pic>
              </a:graphicData>
            </a:graphic>
          </wp:inline>
        </w:drawing>
      </w:r>
      <w:bookmarkEnd w:id="96"/>
    </w:p>
    <w:p>
      <w:pPr>
        <w:pStyle w:val="ImageCaption"/>
      </w:pPr>
      <w:r>
        <w:t xml:space="preserve">Imagen 11: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10"/>
        </w:numPr>
        <w:pStyle w:val="Compact"/>
      </w:pPr>
      <w:r>
        <w:t xml:space="preserve">transiciones</w:t>
      </w:r>
    </w:p>
    <w:p>
      <w:pPr>
        <w:numPr>
          <w:ilvl w:val="0"/>
          <w:numId w:val="1010"/>
        </w:numPr>
        <w:pStyle w:val="Compact"/>
      </w:pPr>
      <w:r>
        <w:t xml:space="preserve">migraciones</w:t>
      </w:r>
    </w:p>
    <w:p>
      <w:pPr>
        <w:numPr>
          <w:ilvl w:val="0"/>
          <w:numId w:val="1010"/>
        </w:numPr>
        <w:pStyle w:val="Compact"/>
      </w:pPr>
      <w:r>
        <w:t xml:space="preserve">interfaces</w:t>
      </w:r>
    </w:p>
    <w:p>
      <w:pPr>
        <w:numPr>
          <w:ilvl w:val="0"/>
          <w:numId w:val="1010"/>
        </w:numPr>
        <w:pStyle w:val="Compact"/>
      </w:pPr>
      <w:r>
        <w:t xml:space="preserve">reformas</w:t>
      </w:r>
    </w:p>
    <w:p>
      <w:pPr>
        <w:numPr>
          <w:ilvl w:val="0"/>
          <w:numId w:val="1010"/>
        </w:numPr>
        <w:pStyle w:val="Compact"/>
      </w:pPr>
      <w:r>
        <w:t xml:space="preserve">controles</w:t>
      </w:r>
    </w:p>
    <w:p>
      <w:pPr>
        <w:numPr>
          <w:ilvl w:val="0"/>
          <w:numId w:val="1010"/>
        </w:numPr>
        <w:pStyle w:val="Compact"/>
      </w:pPr>
      <w:r>
        <w:t xml:space="preserve">integración</w:t>
      </w:r>
    </w:p>
    <w:p>
      <w:pPr>
        <w:numPr>
          <w:ilvl w:val="0"/>
          <w:numId w:val="1010"/>
        </w:numPr>
        <w:pStyle w:val="Compact"/>
      </w:pPr>
      <w:r>
        <w:t xml:space="preserve">análisis</w:t>
      </w:r>
    </w:p>
    <w:p>
      <w:pPr>
        <w:numPr>
          <w:ilvl w:val="0"/>
          <w:numId w:val="1010"/>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98"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11"/>
        </w:numPr>
        <w:pStyle w:val="Compact"/>
      </w:pPr>
      <w:r>
        <w:t xml:space="preserve">Gestión del trabajo de arquitectura</w:t>
      </w:r>
    </w:p>
    <w:p>
      <w:pPr>
        <w:numPr>
          <w:ilvl w:val="0"/>
          <w:numId w:val="1011"/>
        </w:numPr>
        <w:pStyle w:val="Compact"/>
      </w:pPr>
      <w:r>
        <w:t xml:space="preserve">Medición del progreso del trabajo</w:t>
      </w:r>
    </w:p>
    <w:p>
      <w:pPr>
        <w:numPr>
          <w:ilvl w:val="0"/>
          <w:numId w:val="1011"/>
        </w:numPr>
        <w:pStyle w:val="Compact"/>
      </w:pPr>
      <w:r>
        <w:t xml:space="preserve">Exploración de riesgos técnicos de las arquitecturas de referencia</w:t>
      </w:r>
    </w:p>
    <w:p>
      <w:pPr>
        <w:numPr>
          <w:ilvl w:val="0"/>
          <w:numId w:val="1011"/>
        </w:numPr>
        <w:pStyle w:val="Compact"/>
      </w:pPr>
      <w:r>
        <w:t xml:space="preserve">Descomposición del trabajo</w:t>
      </w:r>
    </w:p>
    <w:p>
      <w:pPr>
        <w:numPr>
          <w:ilvl w:val="0"/>
          <w:numId w:val="1011"/>
        </w:numPr>
        <w:pStyle w:val="Compact"/>
      </w:pPr>
      <w:r>
        <w:t xml:space="preserve">Organización de elementos y modelamiento</w:t>
      </w:r>
    </w:p>
    <w:p>
      <w:pPr>
        <w:numPr>
          <w:ilvl w:val="0"/>
          <w:numId w:val="1011"/>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p>
      <w:pPr>
        <w:pStyle w:val="Textoindependiente"/>
      </w:pPr>
      <w:r>
        <w:t xml:space="preserve">11a1.md</w:t>
      </w:r>
      <w:r>
        <w:t xml:space="preserve"> </w:t>
      </w:r>
      <w:r>
        <w:t xml:space="preserve">### Gestión del Trabajo de Arquitectura</w:t>
      </w:r>
      <w:r>
        <w:t xml:space="preserve"> </w:t>
      </w:r>
      <w:r>
        <w:t xml:space="preserve">Bajo el principio de mantener simple los procesos y procedimientos, definimos la gestión de los trabajos requeridos para mantener a las arquitecturas de referencia FNA como un pila (conjunto) priorizada de ítems de trabajo de arquitectura (ITA, en adelante) que contiene y comunica, distinto a un plan, únicamente el trabajo por realizar.</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sin perjuicio de estos.</w:t>
      </w:r>
    </w:p>
    <w:p>
      <w:pPr>
        <w:pStyle w:val="Textoindependiente"/>
      </w:pPr>
    </w:p>
    <w:bookmarkStart w:id="97" w:name="medición-del-progreso-del-trabajo"/>
    <w:p>
      <w:pPr>
        <w:pStyle w:val="Ttulo3"/>
      </w:pPr>
      <w:r>
        <w:t xml:space="preserve">Medición Del Progreso Del Trabajo</w:t>
      </w:r>
    </w:p>
    <w:bookmarkEnd w:id="97"/>
    <w:bookmarkEnd w:id="98"/>
    <w:bookmarkStart w:id="99" w:name="Xc2a3e73e97a00e94e42a958bd4052cf1d2e95d2"/>
    <w:p>
      <w:pPr>
        <w:pStyle w:val="Ttulo2"/>
      </w:pPr>
      <w:r>
        <w:t xml:space="preserve">Exploración De Riesgos Técnicos De Las Arquitecturas De Referencia</w:t>
      </w:r>
    </w:p>
    <w:bookmarkEnd w:id="99"/>
    <w:bookmarkStart w:id="100" w:name="descomposición-del-trabajo"/>
    <w:p>
      <w:pPr>
        <w:pStyle w:val="Ttulo2"/>
      </w:pPr>
      <w:r>
        <w:t xml:space="preserve">Descomposición Del Trabajo</w:t>
      </w:r>
    </w:p>
    <w:bookmarkEnd w:id="100"/>
    <w:bookmarkStart w:id="101" w:name="organización-de-elementos-y-modelamiento"/>
    <w:p>
      <w:pPr>
        <w:pStyle w:val="Ttulo2"/>
      </w:pPr>
      <w:r>
        <w:t xml:space="preserve">Organización De Elementos Y Modelamiento</w:t>
      </w:r>
    </w:p>
    <w:bookmarkEnd w:id="101"/>
    <w:bookmarkStart w:id="102" w:name="X2ec78d0e9427defd87dbb8dfb9efe69626c53ca"/>
    <w:p>
      <w:pPr>
        <w:pStyle w:val="Ttulo2"/>
      </w:pPr>
      <w:r>
        <w:t xml:space="preserve">Emisión De Transiciones De Las Arquitecturas De Referencia</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1.cde51ea</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2"/>
    <w:bookmarkEnd w:id="103"/>
    <w:bookmarkStart w:id="104"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desmezuradamente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12"/>
        </w:numPr>
        <w:pStyle w:val="Compact"/>
      </w:pPr>
      <w:r>
        <w:t xml:space="preserve">Arquitectura incremental</w:t>
      </w:r>
    </w:p>
    <w:p>
      <w:pPr>
        <w:numPr>
          <w:ilvl w:val="0"/>
          <w:numId w:val="1012"/>
        </w:numPr>
        <w:pStyle w:val="Compact"/>
      </w:pPr>
      <w:r>
        <w:t xml:space="preserve">Verificación continua de arquitecturas</w:t>
      </w:r>
    </w:p>
    <w:p>
      <w:pPr>
        <w:numPr>
          <w:ilvl w:val="0"/>
          <w:numId w:val="1012"/>
        </w:numPr>
        <w:pStyle w:val="Compact"/>
      </w:pPr>
      <w:r>
        <w:t xml:space="preserve">Generación contínua de arquitecturas</w:t>
      </w:r>
    </w:p>
    <w:p>
      <w:pPr>
        <w:numPr>
          <w:ilvl w:val="0"/>
          <w:numId w:val="1012"/>
        </w:numPr>
        <w:pStyle w:val="Compact"/>
      </w:pPr>
      <w:r>
        <w:t xml:space="preserve">Diseños enfocado (baja granularidad) –evite diseños de largo plazo</w:t>
      </w:r>
    </w:p>
    <w:p>
      <w:pPr>
        <w:numPr>
          <w:ilvl w:val="0"/>
          <w:numId w:val="1012"/>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1.cde51ea</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04"/>
    <w:bookmarkStart w:id="105" w:name="X780134ca4858c4d09b47bcccc6cb021bde86579"/>
    <w:p>
      <w:pPr>
        <w:pStyle w:val="Ttulo1"/>
      </w:pPr>
      <w:r>
        <w:t xml:space="preserve">Matriz de responsabilidades del mantenimiento de la arquitectura de referencia (Oficina de arquitectura del FNA)</w:t>
      </w:r>
    </w:p>
    <w:p>
      <w:pPr>
        <w:pStyle w:val="FirstParagraph"/>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24 Jul 2023</w:t>
      </w:r>
    </w:p>
    <w:p>
      <w:pPr>
        <w:pStyle w:val="Textodebloque"/>
      </w:pPr>
      <w:r>
        <w:rPr>
          <w:bCs/>
          <w:b/>
        </w:rPr>
        <w:t xml:space="preserve">Versión</w:t>
      </w:r>
      <w:r>
        <w:t xml:space="preserve"> </w:t>
      </w:r>
      <w:r>
        <w:t xml:space="preserve">1.cde51ea</w:t>
      </w:r>
    </w:p>
    <w:p>
      <w:pPr>
        <w:pStyle w:val="FirstParagraph"/>
      </w:pPr>
    </w:p>
    <w:bookmarkEnd w:id="105"/>
    <w:bookmarkStart w:id="113"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106" w:name="justificación-2"/>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106"/>
    <w:bookmarkStart w:id="107" w:name="contenidos-3"/>
    <w:p>
      <w:pPr>
        <w:pStyle w:val="Ttulo2"/>
      </w:pPr>
      <w:r>
        <w:t xml:space="preserve">Contenidos</w:t>
      </w:r>
    </w:p>
    <w:p>
      <w:pPr>
        <w:numPr>
          <w:ilvl w:val="0"/>
          <w:numId w:val="1013"/>
        </w:numPr>
        <w:pStyle w:val="Compact"/>
      </w:pPr>
      <w:r>
        <w:t xml:space="preserve">Diseño y representación de la Arquitectura de Referencia 2.0 del FNA</w:t>
      </w:r>
    </w:p>
    <w:p>
      <w:pPr>
        <w:numPr>
          <w:ilvl w:val="0"/>
          <w:numId w:val="1013"/>
        </w:numPr>
        <w:pStyle w:val="Compact"/>
      </w:pPr>
      <w:r>
        <w:t xml:space="preserve">Consideraciones para implementar la arquitectura de referencia</w:t>
      </w:r>
    </w:p>
    <w:p>
      <w:pPr>
        <w:numPr>
          <w:ilvl w:val="0"/>
          <w:numId w:val="1013"/>
        </w:numPr>
        <w:pStyle w:val="Compact"/>
      </w:pPr>
      <w:r>
        <w:t xml:space="preserve">Vistas lógicas y conceptuales de los sistemas de información</w:t>
      </w:r>
    </w:p>
    <w:p>
      <w:pPr>
        <w:numPr>
          <w:ilvl w:val="0"/>
          <w:numId w:val="1013"/>
        </w:numPr>
        <w:pStyle w:val="Compact"/>
      </w:pPr>
      <w:r>
        <w:t xml:space="preserve">Documentación técnica 0.1 de la Arquitectura de Referencia 2.0 del FNA</w:t>
      </w:r>
    </w:p>
    <w:p>
      <w:pPr>
        <w:pStyle w:val="FirstParagraph"/>
      </w:pPr>
    </w:p>
    <w:bookmarkEnd w:id="107"/>
    <w:bookmarkStart w:id="108" w:name="criterios-de-aceptación-2"/>
    <w:p>
      <w:pPr>
        <w:pStyle w:val="Ttulo2"/>
      </w:pPr>
      <w:r>
        <w:t xml:space="preserve">Criterios de Aceptación</w:t>
      </w:r>
    </w:p>
    <w:p>
      <w:pPr>
        <w:numPr>
          <w:ilvl w:val="0"/>
          <w:numId w:val="1014"/>
        </w:numPr>
        <w:pStyle w:val="Compact"/>
      </w:pPr>
      <w:r>
        <w:t xml:space="preserve">Vistas lógicas y conceptuales de los sistemas de información</w:t>
      </w:r>
    </w:p>
    <w:p>
      <w:pPr>
        <w:numPr>
          <w:ilvl w:val="0"/>
          <w:numId w:val="1014"/>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108"/>
    <w:bookmarkStart w:id="112" w:name="modelo-de-implementación-del-pry02-2"/>
    <w:p>
      <w:pPr>
        <w:pStyle w:val="Ttulo2"/>
      </w:pPr>
      <w:r>
        <w:t xml:space="preserve">Modelo de Implementación del PRY02</w:t>
      </w:r>
    </w:p>
    <w:bookmarkStart w:id="0" w:name="fig:c8230491-587a-425e-9df5-58814128472d"/>
    <w:p>
      <w:pPr>
        <w:pStyle w:val="CaptionedFigure"/>
      </w:pPr>
      <w:bookmarkStart w:id="111" w:name="fig:"/>
      <w:r>
        <w:drawing>
          <wp:inline>
            <wp:extent cx="5600700" cy="4264411"/>
            <wp:effectExtent b="0" l="0" r="0" t="0"/>
            <wp:docPr descr="Imagen 12: Plan de Implementación del Proyecto Hoja de Ruta E-Service FNA, 2023. Abril 2023 a Agosto 2023" title="" id="109" name="Picture"/>
            <a:graphic>
              <a:graphicData uri="http://schemas.openxmlformats.org/drawingml/2006/picture">
                <pic:pic>
                  <pic:nvPicPr>
                    <pic:cNvPr descr="images/pry2.png" id="110"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111"/>
    </w:p>
    <w:p>
      <w:pPr>
        <w:pStyle w:val="ImageCaption"/>
      </w:pPr>
      <w:r>
        <w:t xml:space="preserve">Imagen 12: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servivios,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1.cde51ea</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12"/>
    <w:bookmarkEnd w:id="113"/>
    <w:bookmarkStart w:id="137"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arquitecturas del FNA y que implica a las problemáticas diagnósticadas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5"/>
        </w:numPr>
        <w:pStyle w:val="Compact"/>
      </w:pPr>
      <w:r>
        <w:t xml:space="preserve">Dependencia de proveedor (OBJ1)</w:t>
      </w:r>
    </w:p>
    <w:p>
      <w:pPr>
        <w:numPr>
          <w:ilvl w:val="0"/>
          <w:numId w:val="1015"/>
        </w:numPr>
        <w:pStyle w:val="Compact"/>
      </w:pPr>
      <w:r>
        <w:t xml:space="preserve">Fortaleza SOA de las aplicaciones (OBJ2)</w:t>
      </w:r>
    </w:p>
    <w:p>
      <w:pPr>
        <w:numPr>
          <w:ilvl w:val="0"/>
          <w:numId w:val="1015"/>
        </w:numPr>
        <w:pStyle w:val="Compact"/>
      </w:pPr>
      <w:r>
        <w:t xml:space="preserve">Tiempo de mercado (OBJ3)</w:t>
      </w:r>
    </w:p>
    <w:p>
      <w:pPr>
        <w:pStyle w:val="FirstParagraph"/>
      </w:pPr>
      <w:r>
        <w:rPr>
          <w:iCs/>
          <w:i/>
        </w:rPr>
        <w:t xml:space="preserve">Fuente: E-Service, Fase I (2022).</w:t>
      </w:r>
    </w:p>
    <w:bookmarkStart w:id="130" w:name="dominio-de-servicios-y-aplicaciones-fna"/>
    <w:p>
      <w:pPr>
        <w:pStyle w:val="Ttulo2"/>
      </w:pPr>
      <w:r>
        <w:t xml:space="preserve">Dominio de Servicios y Aplicaciones FNA</w:t>
      </w:r>
    </w:p>
    <w:bookmarkStart w:id="118"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043ec8aa-50cc-4037-bce3-15d4f02be747"/>
    <w:p>
      <w:pPr>
        <w:pStyle w:val="CaptionedFigure"/>
      </w:pPr>
      <w:bookmarkStart w:id="117" w:name="fig:"/>
      <w:r>
        <w:drawing>
          <wp:inline>
            <wp:extent cx="5600700" cy="3267074"/>
            <wp:effectExtent b="0" l="0" r="0" t="0"/>
            <wp:docPr descr="Imagen 13: Fondo Nacional del Ahorro - Vista general de arquitectura actual" title="" id="115" name="Picture"/>
            <a:graphic>
              <a:graphicData uri="http://schemas.openxmlformats.org/drawingml/2006/picture">
                <pic:pic>
                  <pic:nvPicPr>
                    <pic:cNvPr descr="images/arqimage1.png" id="116" name="Picture"/>
                    <pic:cNvPicPr>
                      <a:picLocks noChangeArrowheads="1" noChangeAspect="1"/>
                    </pic:cNvPicPr>
                  </pic:nvPicPr>
                  <pic:blipFill>
                    <a:blip r:embed="rId114"/>
                    <a:stretch>
                      <a:fillRect/>
                    </a:stretch>
                  </pic:blipFill>
                  <pic:spPr bwMode="auto">
                    <a:xfrm>
                      <a:off x="0" y="0"/>
                      <a:ext cx="5600700" cy="3267074"/>
                    </a:xfrm>
                    <a:prstGeom prst="rect">
                      <a:avLst/>
                    </a:prstGeom>
                    <a:noFill/>
                    <a:ln w="9525">
                      <a:noFill/>
                      <a:headEnd/>
                      <a:tailEnd/>
                    </a:ln>
                  </pic:spPr>
                </pic:pic>
              </a:graphicData>
            </a:graphic>
          </wp:inline>
        </w:drawing>
      </w:r>
      <w:bookmarkEnd w:id="117"/>
    </w:p>
    <w:p>
      <w:pPr>
        <w:pStyle w:val="ImageCaption"/>
      </w:pPr>
      <w:r>
        <w:t xml:space="preserve">Imagen 13: Fondo Nacional del Ahorro - Vista general de arquitectura actual</w:t>
      </w:r>
    </w:p>
    <w:bookmarkEnd w:id="0"/>
    <w:p>
      <w:pPr>
        <w:pStyle w:val="Textoindependiente"/>
      </w:pPr>
    </w:p>
    <w:bookmarkEnd w:id="118"/>
    <w:bookmarkStart w:id="129"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123" w:name="nivel-de-detalle-1"/>
    <w:p>
      <w:pPr>
        <w:pStyle w:val="Ttulo4"/>
      </w:pPr>
      <w:r>
        <w:t xml:space="preserve">Nivel de detalle 1</w:t>
      </w:r>
    </w:p>
    <w:bookmarkStart w:id="0" w:name="fig:f2cee0af-024d-4721-bab2-f4f4339d1cb7"/>
    <w:p>
      <w:pPr>
        <w:pStyle w:val="CaptionedFigure"/>
      </w:pPr>
      <w:bookmarkStart w:id="122" w:name="fig:"/>
      <w:r>
        <w:drawing>
          <wp:inline>
            <wp:extent cx="5600700" cy="3015761"/>
            <wp:effectExtent b="0" l="0" r="0" t="0"/>
            <wp:docPr descr="Imagen 14: Fondo Nacional del Ahorro - Vista general de arquitectura de referencia. N1" title="" id="120" name="Picture"/>
            <a:graphic>
              <a:graphicData uri="http://schemas.openxmlformats.org/drawingml/2006/picture">
                <pic:pic>
                  <pic:nvPicPr>
                    <pic:cNvPr descr="images/arqimage1.1.png" id="121" name="Picture"/>
                    <pic:cNvPicPr>
                      <a:picLocks noChangeArrowheads="1" noChangeAspect="1"/>
                    </pic:cNvPicPr>
                  </pic:nvPicPr>
                  <pic:blipFill>
                    <a:blip r:embed="rId119"/>
                    <a:stretch>
                      <a:fillRect/>
                    </a:stretch>
                  </pic:blipFill>
                  <pic:spPr bwMode="auto">
                    <a:xfrm>
                      <a:off x="0" y="0"/>
                      <a:ext cx="5600700" cy="3015761"/>
                    </a:xfrm>
                    <a:prstGeom prst="rect">
                      <a:avLst/>
                    </a:prstGeom>
                    <a:noFill/>
                    <a:ln w="9525">
                      <a:noFill/>
                      <a:headEnd/>
                      <a:tailEnd/>
                    </a:ln>
                  </pic:spPr>
                </pic:pic>
              </a:graphicData>
            </a:graphic>
          </wp:inline>
        </w:drawing>
      </w:r>
      <w:bookmarkEnd w:id="122"/>
    </w:p>
    <w:p>
      <w:pPr>
        <w:pStyle w:val="ImageCaption"/>
      </w:pPr>
      <w:r>
        <w:t xml:space="preserve">Imagen 14: Fondo Nacional del Ahorro - Vista general de arquitectura de referencia. N1</w:t>
      </w:r>
    </w:p>
    <w:bookmarkEnd w:id="0"/>
    <w:p>
      <w:pPr>
        <w:pStyle w:val="Textoindependiente"/>
      </w:pPr>
    </w:p>
    <w:bookmarkEnd w:id="123"/>
    <w:bookmarkStart w:id="128" w:name="nivel-de-detalle-2"/>
    <w:p>
      <w:pPr>
        <w:pStyle w:val="Ttulo4"/>
      </w:pPr>
      <w:r>
        <w:t xml:space="preserve">Nivel de detalle 2</w:t>
      </w:r>
    </w:p>
    <w:bookmarkStart w:id="0" w:name="fig:7688c69d-c456-4dc2-85fc-f677a0c9f414"/>
    <w:p>
      <w:pPr>
        <w:pStyle w:val="CaptionedFigure"/>
      </w:pPr>
      <w:bookmarkStart w:id="127" w:name="fig:"/>
      <w:r>
        <w:drawing>
          <wp:inline>
            <wp:extent cx="5600700" cy="3015761"/>
            <wp:effectExtent b="0" l="0" r="0" t="0"/>
            <wp:docPr descr="Imagen 15: Fondo Nacional del Ahorro - Vista general de arquitectura de referencia. N1" title="" id="125" name="Picture"/>
            <a:graphic>
              <a:graphicData uri="http://schemas.openxmlformats.org/drawingml/2006/picture">
                <pic:pic>
                  <pic:nvPicPr>
                    <pic:cNvPr descr="images/arqimage2.png" id="126" name="Picture"/>
                    <pic:cNvPicPr>
                      <a:picLocks noChangeArrowheads="1" noChangeAspect="1"/>
                    </pic:cNvPicPr>
                  </pic:nvPicPr>
                  <pic:blipFill>
                    <a:blip r:embed="rId124"/>
                    <a:stretch>
                      <a:fillRect/>
                    </a:stretch>
                  </pic:blipFill>
                  <pic:spPr bwMode="auto">
                    <a:xfrm>
                      <a:off x="0" y="0"/>
                      <a:ext cx="5600700" cy="3015761"/>
                    </a:xfrm>
                    <a:prstGeom prst="rect">
                      <a:avLst/>
                    </a:prstGeom>
                    <a:noFill/>
                    <a:ln w="9525">
                      <a:noFill/>
                      <a:headEnd/>
                      <a:tailEnd/>
                    </a:ln>
                  </pic:spPr>
                </pic:pic>
              </a:graphicData>
            </a:graphic>
          </wp:inline>
        </w:drawing>
      </w:r>
      <w:bookmarkEnd w:id="127"/>
    </w:p>
    <w:p>
      <w:pPr>
        <w:pStyle w:val="ImageCaption"/>
      </w:pPr>
      <w:r>
        <w:t xml:space="preserve">Imagen 15: Fondo Nacional del Ahorro - Vista general de arquitectura de referencia. N1</w:t>
      </w:r>
    </w:p>
    <w:bookmarkEnd w:id="0"/>
    <w:p>
      <w:pPr>
        <w:pStyle w:val="Textoindependiente"/>
      </w:pPr>
    </w:p>
    <w:bookmarkEnd w:id="128"/>
    <w:bookmarkEnd w:id="129"/>
    <w:bookmarkEnd w:id="130"/>
    <w:bookmarkStart w:id="136" w:name="dominio-de-datos-fna"/>
    <w:p>
      <w:pPr>
        <w:pStyle w:val="Ttulo2"/>
      </w:pPr>
      <w:r>
        <w:t xml:space="preserve">Dominio de Datos FNA</w:t>
      </w:r>
    </w:p>
    <w:p>
      <w:pPr>
        <w:pStyle w:val="FirstParagraph"/>
      </w:pPr>
      <w:r>
        <w:t xml:space="preserve">Para la arquitectura SOA objetivo se propone un enfoque conocido como malla de</w:t>
      </w:r>
      <w:r>
        <w:t xml:space="preserve"> </w:t>
      </w:r>
      <w:r>
        <w:t xml:space="preserve">datos, este es un cambio de paradigma que permite pensar en los datos</w:t>
      </w:r>
      <w:r>
        <w:t xml:space="preserve"> </w:t>
      </w:r>
      <w:r>
        <w:t xml:space="preserve">como un producto. La malla de datos introduce cambios organizativos y de</w:t>
      </w:r>
      <w:r>
        <w:t xml:space="preserve"> </w:t>
      </w:r>
      <w:r>
        <w:t xml:space="preserve">procesos que las empresas necesitarán para gestionar los datos como un</w:t>
      </w:r>
      <w:r>
        <w:t xml:space="preserve"> </w:t>
      </w:r>
      <w:r>
        <w:t xml:space="preserve">activo de capital tangible del negocio.</w:t>
      </w:r>
    </w:p>
    <w:p>
      <w:pPr>
        <w:pStyle w:val="Textoindependiente"/>
      </w:pPr>
      <w:r>
        <w:t xml:space="preserve">Una malla de datos tiene como objetivo que los datos sean más accesibles</w:t>
      </w:r>
      <w:r>
        <w:t xml:space="preserve"> </w:t>
      </w:r>
      <w:r>
        <w:t xml:space="preserve">y estén disponibles para los usuarios, conectando directamente a</w:t>
      </w:r>
      <w:r>
        <w:t xml:space="preserve"> </w:t>
      </w:r>
      <w:r>
        <w:t xml:space="preserve">propietarios, los productores y los consumidores de datos. La malla de</w:t>
      </w:r>
      <w:r>
        <w:t xml:space="preserve"> </w:t>
      </w:r>
      <w:r>
        <w:t xml:space="preserve">datos tiene como objetivo mejorar los resultados empresariales de las</w:t>
      </w:r>
      <w:r>
        <w:t xml:space="preserve"> </w:t>
      </w:r>
      <w:r>
        <w:t xml:space="preserve">soluciones centradas en los datos, así como impulsar la adopción de</w:t>
      </w:r>
      <w:r>
        <w:t xml:space="preserve"> </w:t>
      </w:r>
      <w:r>
        <w:t xml:space="preserve">arquitecturas de datos modernas.</w:t>
      </w:r>
    </w:p>
    <w:bookmarkStart w:id="132" w:name="pilares-de-la-malla-de-datos-data-mesh"/>
    <w:p>
      <w:pPr>
        <w:pStyle w:val="Ttulo3"/>
      </w:pPr>
      <w:r>
        <w:t xml:space="preserve">Pilares de la Malla de Datos (data mesh)</w:t>
      </w:r>
    </w:p>
    <w:bookmarkStart w:id="0" w:name="fig:4c8fb95c-2131-4f17-b9da-170ba9d38858"/>
    <w:p>
      <w:pPr>
        <w:pStyle w:val="FirstParagraph"/>
      </w:pPr>
      <w:bookmarkStart w:id="131" w:name="fig:"/>
      <w:r>
        <w:t xml:space="preserve">Imagen 16: Malla de datos para el FNA</w:t>
      </w:r>
      <w:bookmarkEnd w:id="131"/>
    </w:p>
    <w:bookmarkEnd w:id="0"/>
    <w:bookmarkEnd w:id="132"/>
    <w:bookmarkStart w:id="134" w:name="plano-de-datos-objetivo"/>
    <w:p>
      <w:pPr>
        <w:pStyle w:val="Ttulo3"/>
      </w:pPr>
      <w:r>
        <w:t xml:space="preserve">Plano de Datos Objetivo</w:t>
      </w:r>
    </w:p>
    <w:bookmarkStart w:id="0" w:name="fig:754d43d8-3f72-4516-8fd8-3c3c08567079"/>
    <w:p>
      <w:pPr>
        <w:pStyle w:val="FirstParagraph"/>
      </w:pPr>
      <w:bookmarkStart w:id="133" w:name="fig:"/>
      <w:r>
        <w:t xml:space="preserve">Imagen 17: Plano de Datos Objetivo del FNA</w:t>
      </w:r>
      <w:bookmarkEnd w:id="133"/>
    </w:p>
    <w:bookmarkEnd w:id="0"/>
    <w:bookmarkEnd w:id="134"/>
    <w:bookmarkStart w:id="135" w:name="X02c9113b0146890600affb315afe8fb396ae1e7"/>
    <w:p>
      <w:pPr>
        <w:pStyle w:val="Ttulo3"/>
      </w:pPr>
      <w:r>
        <w:t xml:space="preserve">Características Principales de la Arquitectura de Datos 2.0</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la propiedad a las manos de</w:t>
      </w:r>
      <w:r>
        <w:t xml:space="preserve"> </w:t>
      </w:r>
      <w:r>
        <w:t xml:space="preserve">los equipos de dominio (es decir departamentos, unidades de negocio,</w:t>
      </w:r>
      <w:r>
        <w:t xml:space="preserve"> </w:t>
      </w:r>
      <w:r>
        <w:t xml:space="preserve">etc.). Ellos serán los dueños de los datos de un extremo a otro, y</w:t>
      </w:r>
      <w:r>
        <w:t xml:space="preserve"> </w:t>
      </w:r>
      <w:r>
        <w:t xml:space="preserve">podrán asegurarse de tener desde las fuentes correctas hasta los</w:t>
      </w:r>
      <w:r>
        <w:t xml:space="preserve"> </w:t>
      </w:r>
      <w:r>
        <w:t xml:space="preserve">procesamientos necesarios y la entrega de los datos para que otros</w:t>
      </w:r>
      <w:r>
        <w:t xml:space="preserve"> </w:t>
      </w:r>
      <w:r>
        <w:t xml:space="preserve">equipos de dominio los aprovechen como productos</w:t>
      </w:r>
    </w:p>
    <w:p>
      <w:pPr>
        <w:pStyle w:val="Textoindependiente"/>
      </w:pPr>
      <w:r>
        <w:rPr>
          <w:bCs/>
          <w:b/>
        </w:rPr>
        <w:t xml:space="preserve">Datos como producto:</w:t>
      </w:r>
      <w:r>
        <w:t xml:space="preserve"> los equipos de dominio son responsables de los</w:t>
      </w:r>
      <w:r>
        <w:t xml:space="preserve"> </w:t>
      </w:r>
      <w:r>
        <w:t xml:space="preserve">datos y también de los productos de datos resultantes. El objetivo es</w:t>
      </w:r>
      <w:r>
        <w:t xml:space="preserve"> </w:t>
      </w:r>
      <w:r>
        <w:t xml:space="preserve">lograr que cada</w:t>
      </w:r>
      <w:r>
        <w:t xml:space="preserve"> </w:t>
      </w:r>
      <w:r>
        <w:t xml:space="preserve">“</w:t>
      </w:r>
      <w:r>
        <w:t xml:space="preserve">producto de datos</w:t>
      </w:r>
      <w:r>
        <w:t xml:space="preserve">”</w:t>
      </w:r>
      <w:r>
        <w:t xml:space="preserve"> </w:t>
      </w:r>
      <w:r>
        <w:t xml:space="preserve">sea descubierto y utilizable por los</w:t>
      </w:r>
      <w:r>
        <w:t xml:space="preserve"> </w:t>
      </w:r>
      <w:r>
        <w:t xml:space="preserve">consumidores y otros equipos de dominio, y el propietario del dominio es</w:t>
      </w:r>
      <w:r>
        <w:t xml:space="preserve"> </w:t>
      </w:r>
      <w:r>
        <w:t xml:space="preserve">responsable de mantener y actualizar (o desaprobar) estos productos para</w:t>
      </w:r>
      <w:r>
        <w:t xml:space="preserve"> </w:t>
      </w:r>
      <w:r>
        <w:t xml:space="preserve">garantizar la calidad y la precisión.</w:t>
      </w:r>
    </w:p>
    <w:p>
      <w:pPr>
        <w:pStyle w:val="Textoindependiente"/>
      </w:pPr>
      <w:r>
        <w:rPr>
          <w:bCs/>
          <w:b/>
        </w:rPr>
        <w:t xml:space="preserve">Infraestructura de autoservicio</w:t>
      </w:r>
      <w:r>
        <w:t xml:space="preserve">: que todo sea</w:t>
      </w:r>
      <w:r>
        <w:t xml:space="preserve"> </w:t>
      </w:r>
      <w:r>
        <w:t xml:space="preserve">“</w:t>
      </w:r>
      <w:r>
        <w:t xml:space="preserve">autoservicio</w:t>
      </w:r>
      <w:r>
        <w:t xml:space="preserve">”</w:t>
      </w:r>
      <w:r>
        <w:t xml:space="preserve"> </w:t>
      </w:r>
      <w:r>
        <w:t xml:space="preserve">hace</w:t>
      </w:r>
      <w:r>
        <w:t xml:space="preserve"> </w:t>
      </w:r>
      <w:r>
        <w:t xml:space="preserve">que nos olvidemos para siempre de las tecnologías complejas y las</w:t>
      </w:r>
      <w:r>
        <w:t xml:space="preserve"> </w:t>
      </w:r>
      <w:r>
        <w:t xml:space="preserve">habilidades de nicho. El Data mesh se basa, por principio, en una</w:t>
      </w:r>
      <w:r>
        <w:t xml:space="preserve"> </w:t>
      </w:r>
      <w:r>
        <w:t xml:space="preserve">gestión de datos mediante una plataforma común y un conjunto de</w:t>
      </w:r>
      <w:r>
        <w:t xml:space="preserve"> </w:t>
      </w:r>
      <w:r>
        <w:t xml:space="preserve">herramientas que cualquier equipo de dominio pueda aprovechar.</w:t>
      </w:r>
    </w:p>
    <w:p>
      <w:pPr>
        <w:pStyle w:val="Textoindependiente"/>
      </w:pPr>
      <w:r>
        <w:rPr>
          <w:bCs/>
          <w:b/>
        </w:rPr>
        <w:t xml:space="preserve">Gobernanza federada</w:t>
      </w:r>
      <w:r>
        <w:t xml:space="preserve">: si de verdad queremos eliminar controles de</w:t>
      </w:r>
      <w:r>
        <w:t xml:space="preserve"> </w:t>
      </w:r>
      <w:r>
        <w:t xml:space="preserve">acceso necesitamos un equilibrio entre las políticas y controles de</w:t>
      </w:r>
      <w:r>
        <w:t xml:space="preserve"> </w:t>
      </w:r>
      <w:r>
        <w:t xml:space="preserve">gobernanza global y la posibilidad de dominio y creación de productos.</w:t>
      </w:r>
      <w:r>
        <w:t xml:space="preserve"> </w:t>
      </w:r>
      <w:r>
        <w:t xml:space="preserve">Esto es lo que llamamos gobernanza federada y en la práctica es</w:t>
      </w:r>
      <w:r>
        <w:t xml:space="preserve"> </w:t>
      </w:r>
      <w:r>
        <w:t xml:space="preserve">fundamental para garantizar la privacidad, el cumplimiento y la</w:t>
      </w:r>
      <w:r>
        <w:t xml:space="preserve"> </w:t>
      </w:r>
      <w:r>
        <w:t xml:space="preserve">posibilidad de escalar.</w:t>
      </w:r>
    </w:p>
    <w:p>
      <w:pPr>
        <w:pStyle w:val="Textoindependiente"/>
      </w:pPr>
      <w:r>
        <w:t xml:space="preserve">12b.consideraciones.md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Consideraciones para implementar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implementación, hoja de ruta,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1.cde51ea</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35"/>
    <w:bookmarkEnd w:id="136"/>
    <w:bookmarkEnd w:id="137"/>
    <w:bookmarkStart w:id="138" w:name="X2a992e60015c237e73cac22230e5020e6b238c6"/>
    <w:p>
      <w:pPr>
        <w:pStyle w:val="Ttulo1"/>
      </w:pPr>
      <w:r>
        <w:t xml:space="preserve">Consideraciones para Implementar las Arquitecturas de Referencia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pPr>
        <w:pStyle w:val="Textoindependiente"/>
      </w:pPr>
      <w:r>
        <w:t xml:space="preserve">12c.vistas.md</w:t>
      </w: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1.cde51ea</w:t>
            </w:r>
            <w:r>
              <w:t xml:space="preserve"> </w:t>
            </w:r>
            <w:r>
              <w:t xml:space="preserve">del 24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84">
              <w:r>
                <w:rPr>
                  <w:rStyle w:val="Hipervnculo"/>
                </w:rPr>
                <w:t xml:space="preserve">Procesos de Negocio FNA</w:t>
              </w:r>
            </w:hyperlink>
          </w:p>
        </w:tc>
      </w:tr>
    </w:tbl>
    <w:p>
      <w:pPr>
        <w:pStyle w:val="Textoindependiente"/>
      </w:pPr>
    </w:p>
    <w:bookmarkEnd w:id="138"/>
    <w:bookmarkStart w:id="139" w:name="X9e81e36428fb0ce97065820146d132796798420"/>
    <w:p>
      <w:pPr>
        <w:pStyle w:val="Ttulo1"/>
      </w:pPr>
      <w:r>
        <w:t xml:space="preserve">Diseño y Representación de las Arquitecturas de Referencia 2.0 del FNA</w:t>
      </w:r>
    </w:p>
    <w:p>
      <w:pPr>
        <w:pStyle w:val="FirstParagraph"/>
      </w:pPr>
      <w:r>
        <w:t xml:space="preserve">Partimos de la representación de la vista general de arquitectura actual del FNA, que desembocaron en las problemáticas diagnósticadas en Fase I (</w:t>
      </w:r>
      <w:r>
        <w:t xml:space="preserve">[</w:t>
      </w:r>
      <w:hyperlink w:anchor="ref-19ZPD5YjC">
        <w:r>
          <w:rPr>
            <w:rStyle w:val="Hipervnculo"/>
          </w:rPr>
          <w:t xml:space="preserve">1</w:t>
        </w:r>
      </w:hyperlink>
      <w:r>
        <w:t xml:space="preserve">]</w:t>
      </w:r>
      <w:r>
        <w:t xml:space="preserve">) sobre la que realizaremos luego las propuestas de nuevas arquitecturas que</w:t>
      </w:r>
    </w:p>
    <w:p>
      <w:pPr>
        <w:pStyle w:val="Textoindependiente"/>
      </w:pPr>
      <w:r>
        <w:t xml:space="preserve">Este documento presenta la visión general de la arquitectura de referencia del FNA. Contiene propuestas a futuro sobre los cambios y adiciones sugeridas con respecto a la arquitectura de referencia actual.</w:t>
      </w:r>
    </w:p>
    <w:p>
      <w:r>
        <w:br w:type="page"/>
      </w:r>
    </w:p>
    <w:bookmarkEnd w:id="139"/>
    <w:bookmarkStart w:id="151" w:name="referencias"/>
    <w:p>
      <w:pPr>
        <w:pStyle w:val="Ttulo1"/>
      </w:pPr>
      <w:r>
        <w:t xml:space="preserve">Referencias</w:t>
      </w:r>
    </w:p>
    <w:bookmarkStart w:id="150"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41"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40">
        <w:r>
          <w:rPr>
            <w:rStyle w:val="Hipervnculo"/>
          </w:rPr>
          <w:t xml:space="preserve">https://hwong23.github.io/fna-devdoc-f1/v/6497aef0f15c3591f0728e4c42cb2c26c13b43aa/</w:t>
        </w:r>
      </w:hyperlink>
    </w:p>
    <w:bookmarkEnd w:id="141"/>
    <w:bookmarkStart w:id="142"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40">
        <w:r>
          <w:rPr>
            <w:rStyle w:val="Hipervnculo"/>
          </w:rPr>
          <w:t xml:space="preserve">https://hwong23.github.io/fna-devdoc-f1/v/6497aef0f15c3591f0728e4c42cb2c26c13b43aa/</w:t>
        </w:r>
      </w:hyperlink>
    </w:p>
    <w:bookmarkEnd w:id="142"/>
    <w:bookmarkStart w:id="143"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40">
        <w:r>
          <w:rPr>
            <w:rStyle w:val="Hipervnculo"/>
          </w:rPr>
          <w:t xml:space="preserve">https://hwong23.github.io/fna-devdoc-f1/v/6497aef0f15c3591f0728e4c42cb2c26c13b43aa/</w:t>
        </w:r>
      </w:hyperlink>
    </w:p>
    <w:bookmarkEnd w:id="143"/>
    <w:bookmarkStart w:id="145"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44">
        <w:r>
          <w:rPr>
            <w:rStyle w:val="Hipervnculo"/>
          </w:rPr>
          <w:t xml:space="preserve">https://pubs.opengroup.org/architecture/togaf9-doc/arch/chap27.html</w:t>
        </w:r>
      </w:hyperlink>
    </w:p>
    <w:bookmarkEnd w:id="145"/>
    <w:bookmarkStart w:id="146"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44">
        <w:r>
          <w:rPr>
            <w:rStyle w:val="Hipervnculo"/>
          </w:rPr>
          <w:t xml:space="preserve">https://pubs.opengroup.org/architecture/togaf9-doc/arch/chap27.html</w:t>
        </w:r>
      </w:hyperlink>
    </w:p>
    <w:bookmarkEnd w:id="146"/>
    <w:bookmarkStart w:id="148"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47">
        <w:r>
          <w:rPr>
            <w:rStyle w:val="Hipervnculo"/>
          </w:rPr>
          <w:t xml:space="preserve">https://hwong23.github.io/fna-dd-f2-e1/</w:t>
        </w:r>
      </w:hyperlink>
    </w:p>
    <w:bookmarkEnd w:id="148"/>
    <w:bookmarkStart w:id="149"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47">
        <w:r>
          <w:rPr>
            <w:rStyle w:val="Hipervnculo"/>
          </w:rPr>
          <w:t xml:space="preserve">https://hwong23.github.io/fna-dd-f2-e1/</w:t>
        </w:r>
      </w:hyperlink>
    </w:p>
    <w:bookmarkEnd w:id="149"/>
    <w:bookmarkEnd w:id="150"/>
    <w:bookmarkEnd w:id="15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119" Target="media/rId119.png" /><Relationship Type="http://schemas.openxmlformats.org/officeDocument/2006/relationships/image" Id="rId114" Target="media/rId114.png" /><Relationship Type="http://schemas.openxmlformats.org/officeDocument/2006/relationships/image" Id="rId124" Target="media/rId124.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35" Target="media/rId35.png" /><Relationship Type="http://schemas.openxmlformats.org/officeDocument/2006/relationships/image" Id="rId43" Target="media/rId43.jpg" /><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7" Target="https://hwong23.github.io/fna-dd-f2-e1/" TargetMode="External" /><Relationship Type="http://schemas.openxmlformats.org/officeDocument/2006/relationships/hyperlink" Id="rId20" Target="https://hwong23.github.io/fna-dd-f2-pry2-e0/v/cde51ea6a5f660023721ea6c88f46bfb52b30074/" TargetMode="External" /><Relationship Type="http://schemas.openxmlformats.org/officeDocument/2006/relationships/hyperlink" Id="rId140" Target="https://hwong23.github.io/fna-devdoc-f1/v/6497aef0f15c3591f0728e4c42cb2c26c13b43aa/" TargetMode="External" /><Relationship Type="http://schemas.openxmlformats.org/officeDocument/2006/relationships/hyperlink" Id="rId14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88"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47" Target="https://hwong23.github.io/fna-dd-f2-e1/" TargetMode="External" /><Relationship Type="http://schemas.openxmlformats.org/officeDocument/2006/relationships/hyperlink" Id="rId20" Target="https://hwong23.github.io/fna-dd-f2-pry2-e0/v/cde51ea6a5f660023721ea6c88f46bfb52b30074/" TargetMode="External" /><Relationship Type="http://schemas.openxmlformats.org/officeDocument/2006/relationships/hyperlink" Id="rId140" Target="https://hwong23.github.io/fna-devdoc-f1/v/6497aef0f15c3591f0728e4c42cb2c26c13b43aa/" TargetMode="External" /><Relationship Type="http://schemas.openxmlformats.org/officeDocument/2006/relationships/hyperlink" Id="rId14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20Procesos%20de%20Negocio%20FNA&amp;section" TargetMode="External" /><Relationship Type="http://schemas.openxmlformats.org/officeDocument/2006/relationships/hyperlink" Id="rId84"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2023-07-24T11:26:53Z</dcterms:created>
  <dcterms:modified xsi:type="dcterms:W3CDTF">2023-07-24T11:26:53Z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