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89.png" ContentType="image/png"/>
  <Override PartName="/word/media/rId93.png" ContentType="image/png"/>
  <Override PartName="/word/media/rId123.jpg" ContentType="image/jpeg"/>
  <Override PartName="/word/media/rId35.png" ContentType="image/png"/>
  <Override PartName="/word/media/rId118.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STEF@ce91951</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1.ce91951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1.ce91951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1.ce91951</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cfaa7518-0d9a-4a05-b94f-93c1537458ab"/>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1.ce91951 del 24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abc68a18-d7a8-454e-bd75-efcee16fccd8"/>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f93c1816-94d0-4e6d-84d1-250d69b30866"/>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8c6b40ac-7834-454e-a9b5-2a838709e282"/>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915dfc76-3a49-427c-8430-6f086a2fa76f"/>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69d14f98-a5fc-41bb-a680-17c5eec5da4f"/>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072693b9-edbb-4822-963e-9a20535e4b47"/>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1.ce91951</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9cb69b31-9b14-4adb-b72e-bbb89784d91f"/>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1.ce91951</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10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6fdd0761-435a-4452-87d8-4310e71eb559"/>
    <w:p>
      <w:pPr>
        <w:pStyle w:val="CaptionedFigure"/>
      </w:pPr>
      <w:bookmarkStart w:id="92" w:name="fig:"/>
      <w:r>
        <w:drawing>
          <wp:inline>
            <wp:extent cx="5600700" cy="4878524"/>
            <wp:effectExtent b="0" l="0" r="0" t="0"/>
            <wp:docPr descr="Imagen 10: FLARQ03.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ed78d9d3-de81-44a0-a225-e271d91e8715"/>
    <w:p>
      <w:pPr>
        <w:pStyle w:val="CaptionedFigure"/>
      </w:pPr>
      <w:bookmarkStart w:id="96" w:name="fig:"/>
      <w:r>
        <w:drawing>
          <wp:inline>
            <wp:extent cx="5600700" cy="4573557"/>
            <wp:effectExtent b="0" l="0" r="0" t="0"/>
            <wp:docPr descr="Imagen 11: FLARQ03. Estructura interna del flujo de trabajo FNA para el mantenimiento de las arquitecturas de referencia" title="" id="94" name="Picture"/>
            <a:graphic>
              <a:graphicData uri="http://schemas.openxmlformats.org/drawingml/2006/picture">
                <pic:pic>
                  <pic:nvPicPr>
                    <pic:cNvPr descr="images/flujoarqref2.png" id="95" name="Picture"/>
                    <pic:cNvPicPr>
                      <a:picLocks noChangeArrowheads="1" noChangeAspect="1"/>
                    </pic:cNvPicPr>
                  </pic:nvPicPr>
                  <pic:blipFill>
                    <a:blip r:embed="rId93"/>
                    <a:stretch>
                      <a:fillRect/>
                    </a:stretch>
                  </pic:blipFill>
                  <pic:spPr bwMode="auto">
                    <a:xfrm>
                      <a:off x="0" y="0"/>
                      <a:ext cx="5600700" cy="4573557"/>
                    </a:xfrm>
                    <a:prstGeom prst="rect">
                      <a:avLst/>
                    </a:prstGeom>
                    <a:noFill/>
                    <a:ln w="9525">
                      <a:noFill/>
                      <a:headEnd/>
                      <a:tailEnd/>
                    </a:ln>
                  </pic:spPr>
                </pic:pic>
              </a:graphicData>
            </a:graphic>
          </wp:inline>
        </w:drawing>
      </w:r>
      <w:bookmarkEnd w:id="96"/>
    </w:p>
    <w:p>
      <w:pPr>
        <w:pStyle w:val="ImageCaption"/>
      </w:pPr>
      <w:r>
        <w:t xml:space="preserve">Imagen 11: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10"/>
        </w:numPr>
        <w:pStyle w:val="Compact"/>
      </w:pPr>
      <w:r>
        <w:t xml:space="preserve">transiciones</w:t>
      </w:r>
    </w:p>
    <w:p>
      <w:pPr>
        <w:numPr>
          <w:ilvl w:val="0"/>
          <w:numId w:val="1010"/>
        </w:numPr>
        <w:pStyle w:val="Compact"/>
      </w:pPr>
      <w:r>
        <w:t xml:space="preserve">migraciones</w:t>
      </w:r>
    </w:p>
    <w:p>
      <w:pPr>
        <w:numPr>
          <w:ilvl w:val="0"/>
          <w:numId w:val="1010"/>
        </w:numPr>
        <w:pStyle w:val="Compact"/>
      </w:pPr>
      <w:r>
        <w:t xml:space="preserve">interfaces</w:t>
      </w:r>
    </w:p>
    <w:p>
      <w:pPr>
        <w:numPr>
          <w:ilvl w:val="0"/>
          <w:numId w:val="1010"/>
        </w:numPr>
        <w:pStyle w:val="Compact"/>
      </w:pPr>
      <w:r>
        <w:t xml:space="preserve">reformas</w:t>
      </w:r>
    </w:p>
    <w:p>
      <w:pPr>
        <w:numPr>
          <w:ilvl w:val="0"/>
          <w:numId w:val="1010"/>
        </w:numPr>
        <w:pStyle w:val="Compact"/>
      </w:pPr>
      <w:r>
        <w:t xml:space="preserve">controles</w:t>
      </w:r>
    </w:p>
    <w:p>
      <w:pPr>
        <w:numPr>
          <w:ilvl w:val="0"/>
          <w:numId w:val="1010"/>
        </w:numPr>
        <w:pStyle w:val="Compact"/>
      </w:pPr>
      <w:r>
        <w:t xml:space="preserve">integración</w:t>
      </w:r>
    </w:p>
    <w:p>
      <w:pPr>
        <w:numPr>
          <w:ilvl w:val="0"/>
          <w:numId w:val="1010"/>
        </w:numPr>
        <w:pStyle w:val="Compact"/>
      </w:pPr>
      <w:r>
        <w:t xml:space="preserve">análisis</w:t>
      </w:r>
    </w:p>
    <w:p>
      <w:pPr>
        <w:numPr>
          <w:ilvl w:val="0"/>
          <w:numId w:val="1010"/>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9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1"/>
        </w:numPr>
        <w:pStyle w:val="Compact"/>
      </w:pPr>
      <w:r>
        <w:t xml:space="preserve">Gestión del trabajo de arquitectura</w:t>
      </w:r>
    </w:p>
    <w:p>
      <w:pPr>
        <w:numPr>
          <w:ilvl w:val="0"/>
          <w:numId w:val="1011"/>
        </w:numPr>
        <w:pStyle w:val="Compact"/>
      </w:pPr>
      <w:r>
        <w:t xml:space="preserve">Medición del progreso del trabajo</w:t>
      </w:r>
    </w:p>
    <w:p>
      <w:pPr>
        <w:numPr>
          <w:ilvl w:val="0"/>
          <w:numId w:val="1011"/>
        </w:numPr>
        <w:pStyle w:val="Compact"/>
      </w:pPr>
      <w:r>
        <w:t xml:space="preserve">Exploración de riesgos técnicos de las arquitecturas de referencia</w:t>
      </w:r>
    </w:p>
    <w:p>
      <w:pPr>
        <w:numPr>
          <w:ilvl w:val="0"/>
          <w:numId w:val="1011"/>
        </w:numPr>
        <w:pStyle w:val="Compact"/>
      </w:pPr>
      <w:r>
        <w:t xml:space="preserve">Descomposición del trabajo</w:t>
      </w:r>
    </w:p>
    <w:p>
      <w:pPr>
        <w:numPr>
          <w:ilvl w:val="0"/>
          <w:numId w:val="1011"/>
        </w:numPr>
        <w:pStyle w:val="Compact"/>
      </w:pPr>
      <w:r>
        <w:t xml:space="preserve">Organización de elementos y modelamiento</w:t>
      </w:r>
    </w:p>
    <w:p>
      <w:pPr>
        <w:numPr>
          <w:ilvl w:val="0"/>
          <w:numId w:val="1011"/>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p>
      <w:pPr>
        <w:pStyle w:val="Textoindependiente"/>
      </w:pPr>
      <w:r>
        <w:t xml:space="preserve">11a1.md</w:t>
      </w:r>
      <w:r>
        <w:t xml:space="preserve"> </w:t>
      </w:r>
      <w:r>
        <w:t xml:space="preserve">### Gestión del Trabajo de Arquitectura</w:t>
      </w:r>
      <w:r>
        <w:t xml:space="preserve"> </w:t>
      </w: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sin perjuicio de estos.</w:t>
      </w:r>
    </w:p>
    <w:p>
      <w:pPr>
        <w:pStyle w:val="Textoindependiente"/>
      </w:pPr>
    </w:p>
    <w:bookmarkStart w:id="97" w:name="medición-del-progreso-del-trabajo"/>
    <w:p>
      <w:pPr>
        <w:pStyle w:val="Ttulo3"/>
      </w:pPr>
      <w:r>
        <w:t xml:space="preserve">Medición Del Progreso Del Trabajo</w:t>
      </w:r>
    </w:p>
    <w:bookmarkEnd w:id="97"/>
    <w:bookmarkEnd w:id="98"/>
    <w:bookmarkStart w:id="99" w:name="Xc2a3e73e97a00e94e42a958bd4052cf1d2e95d2"/>
    <w:p>
      <w:pPr>
        <w:pStyle w:val="Ttulo2"/>
      </w:pPr>
      <w:r>
        <w:t xml:space="preserve">Exploración De Riesgos Técnicos De Las Arquitecturas De Referencia</w:t>
      </w:r>
    </w:p>
    <w:bookmarkEnd w:id="99"/>
    <w:bookmarkStart w:id="100" w:name="descomposición-del-trabajo"/>
    <w:p>
      <w:pPr>
        <w:pStyle w:val="Ttulo2"/>
      </w:pPr>
      <w:r>
        <w:t xml:space="preserve">Descomposición Del Trabajo</w:t>
      </w:r>
    </w:p>
    <w:bookmarkEnd w:id="100"/>
    <w:bookmarkStart w:id="101" w:name="organización-de-elementos-y-modelamiento"/>
    <w:p>
      <w:pPr>
        <w:pStyle w:val="Ttulo2"/>
      </w:pPr>
      <w:r>
        <w:t xml:space="preserve">Organización De Elementos Y Modelamiento</w:t>
      </w:r>
    </w:p>
    <w:bookmarkEnd w:id="101"/>
    <w:bookmarkStart w:id="102"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1.ce91951</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2"/>
    <w:bookmarkEnd w:id="103"/>
    <w:bookmarkStart w:id="10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2"/>
        </w:numPr>
        <w:pStyle w:val="Compact"/>
      </w:pPr>
      <w:r>
        <w:t xml:space="preserve">Arquitectura incremental</w:t>
      </w:r>
    </w:p>
    <w:p>
      <w:pPr>
        <w:numPr>
          <w:ilvl w:val="0"/>
          <w:numId w:val="1012"/>
        </w:numPr>
        <w:pStyle w:val="Compact"/>
      </w:pPr>
      <w:r>
        <w:t xml:space="preserve">Verificación continua de arquitecturas</w:t>
      </w:r>
    </w:p>
    <w:p>
      <w:pPr>
        <w:numPr>
          <w:ilvl w:val="0"/>
          <w:numId w:val="1012"/>
        </w:numPr>
        <w:pStyle w:val="Compact"/>
      </w:pPr>
      <w:r>
        <w:t xml:space="preserve">Generación contínua de arquitecturas</w:t>
      </w:r>
    </w:p>
    <w:p>
      <w:pPr>
        <w:numPr>
          <w:ilvl w:val="0"/>
          <w:numId w:val="1012"/>
        </w:numPr>
        <w:pStyle w:val="Compact"/>
      </w:pPr>
      <w:r>
        <w:t xml:space="preserve">Diseños enfocado (baja granularidad) –evite diseños de largo plazo</w:t>
      </w:r>
    </w:p>
    <w:p>
      <w:pPr>
        <w:numPr>
          <w:ilvl w:val="0"/>
          <w:numId w:val="1012"/>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1.ce91951</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4"/>
    <w:bookmarkStart w:id="105" w:name="X780134ca4858c4d09b47bcccc6cb021bde86579"/>
    <w:p>
      <w:pPr>
        <w:pStyle w:val="Ttulo1"/>
      </w:pPr>
      <w:r>
        <w:t xml:space="preserve">Matriz de responsabilidades del mantenimiento de la arquitectura de referencia (Oficina de arquitectura del FNA)</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1.ce91951</w:t>
      </w:r>
    </w:p>
    <w:p>
      <w:pPr>
        <w:pStyle w:val="FirstParagraph"/>
      </w:pPr>
    </w:p>
    <w:bookmarkEnd w:id="105"/>
    <w:bookmarkStart w:id="10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End w:id="106"/>
    <w:bookmarkStart w:id="107"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107"/>
    <w:bookmarkStart w:id="108" w:name="contenidos-3"/>
    <w:p>
      <w:pPr>
        <w:pStyle w:val="Ttulo1"/>
      </w:pPr>
      <w:r>
        <w:t xml:space="preserve">Contenidos</w:t>
      </w:r>
    </w:p>
    <w:p>
      <w:pPr>
        <w:numPr>
          <w:ilvl w:val="0"/>
          <w:numId w:val="1013"/>
        </w:numPr>
        <w:pStyle w:val="Compact"/>
      </w:pPr>
      <w:r>
        <w:t xml:space="preserve">Diseño y representación de la Arquitectura de Referencia 2.0 del FNA</w:t>
      </w:r>
    </w:p>
    <w:p>
      <w:pPr>
        <w:numPr>
          <w:ilvl w:val="0"/>
          <w:numId w:val="1013"/>
        </w:numPr>
        <w:pStyle w:val="Compact"/>
      </w:pPr>
      <w:r>
        <w:t xml:space="preserve">Consideraciones para implementar la arquitectura de referencia</w:t>
      </w:r>
    </w:p>
    <w:p>
      <w:pPr>
        <w:numPr>
          <w:ilvl w:val="0"/>
          <w:numId w:val="1013"/>
        </w:numPr>
        <w:pStyle w:val="Compact"/>
      </w:pPr>
      <w:r>
        <w:t xml:space="preserve">Vistas lógicas y conceptuales de los sistemas de información</w:t>
      </w:r>
    </w:p>
    <w:p>
      <w:pPr>
        <w:numPr>
          <w:ilvl w:val="0"/>
          <w:numId w:val="1013"/>
        </w:numPr>
        <w:pStyle w:val="Compact"/>
      </w:pPr>
      <w:r>
        <w:t xml:space="preserve">Documentación técnica 0.1 de la Arquitectura de Referencia 2.0 del FNA</w:t>
      </w:r>
    </w:p>
    <w:p>
      <w:pPr>
        <w:pStyle w:val="FirstParagraph"/>
      </w:pPr>
    </w:p>
    <w:bookmarkEnd w:id="108"/>
    <w:bookmarkStart w:id="113" w:name="criterios-de-aceptación-2"/>
    <w:p>
      <w:pPr>
        <w:pStyle w:val="Ttulo1"/>
      </w:pPr>
      <w:r>
        <w:t xml:space="preserve">Criterios de Aceptación</w:t>
      </w:r>
    </w:p>
    <w:p>
      <w:pPr>
        <w:numPr>
          <w:ilvl w:val="0"/>
          <w:numId w:val="1014"/>
        </w:numPr>
        <w:pStyle w:val="Compact"/>
      </w:pPr>
      <w:r>
        <w:t xml:space="preserve">Vistas lógicas y conceptuales de los sistemas de información</w:t>
      </w:r>
    </w:p>
    <w:p>
      <w:pPr>
        <w:numPr>
          <w:ilvl w:val="0"/>
          <w:numId w:val="1014"/>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112" w:name="modelo-de-implementación-del-pry02-2"/>
    <w:p>
      <w:pPr>
        <w:pStyle w:val="Ttulo2"/>
      </w:pPr>
      <w:r>
        <w:t xml:space="preserve">Modelo de Implementación del PRY02</w:t>
      </w:r>
    </w:p>
    <w:bookmarkStart w:id="0" w:name="fig:27c1bec1-78f8-4b31-b56d-11ac1fde0aa2"/>
    <w:p>
      <w:pPr>
        <w:pStyle w:val="CaptionedFigure"/>
      </w:pPr>
      <w:bookmarkStart w:id="111" w:name="fig:"/>
      <w:r>
        <w:drawing>
          <wp:inline>
            <wp:extent cx="5600700" cy="4264411"/>
            <wp:effectExtent b="0" l="0" r="0" t="0"/>
            <wp:docPr descr="Imagen 12: Plan de Implementación del Proyecto Hoja de Ruta E-Service FNA, 2023. Abril 2023 a Agosto 2023" title="" id="109" name="Picture"/>
            <a:graphic>
              <a:graphicData uri="http://schemas.openxmlformats.org/drawingml/2006/picture">
                <pic:pic>
                  <pic:nvPicPr>
                    <pic:cNvPr descr="images/pry2.png" id="110"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11"/>
    </w:p>
    <w:p>
      <w:pPr>
        <w:pStyle w:val="ImageCaption"/>
      </w:pPr>
      <w:r>
        <w:t xml:space="preserve">Imagen 12: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1.ce91951</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12"/>
    <w:bookmarkEnd w:id="113"/>
    <w:bookmarkStart w:id="114"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1.ce91951</w:t>
      </w:r>
    </w:p>
    <w:p>
      <w:pPr>
        <w:pStyle w:val="FirstParagraph"/>
      </w:pPr>
    </w:p>
    <w:bookmarkEnd w:id="114"/>
    <w:bookmarkStart w:id="128"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5"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115"/>
    <w:bookmarkStart w:id="116" w:name="contenidos-4"/>
    <w:p>
      <w:pPr>
        <w:pStyle w:val="Ttulo2"/>
      </w:pPr>
      <w:r>
        <w:t xml:space="preserve">Contenidos</w:t>
      </w:r>
    </w:p>
    <w:p>
      <w:pPr>
        <w:numPr>
          <w:ilvl w:val="0"/>
          <w:numId w:val="1015"/>
        </w:numPr>
        <w:pStyle w:val="Compact"/>
      </w:pPr>
      <w:r>
        <w:t xml:space="preserve">Análisis de los elementos del modelo de la arquitectura de referencia SOA 2.0 del FNA</w:t>
      </w:r>
    </w:p>
    <w:p>
      <w:pPr>
        <w:numPr>
          <w:ilvl w:val="0"/>
          <w:numId w:val="1015"/>
        </w:numPr>
        <w:pStyle w:val="Compact"/>
      </w:pPr>
      <w:r>
        <w:t xml:space="preserve">Repositorio de arquitectura del FNA actualizado con arquitectura de referencia</w:t>
      </w:r>
    </w:p>
    <w:p>
      <w:pPr>
        <w:numPr>
          <w:ilvl w:val="0"/>
          <w:numId w:val="1015"/>
        </w:numPr>
        <w:pStyle w:val="Compact"/>
      </w:pPr>
      <w:r>
        <w:t xml:space="preserve">Documentación técnica 0.2 de la arquitectura de referencia SOA</w:t>
      </w:r>
    </w:p>
    <w:p>
      <w:pPr>
        <w:numPr>
          <w:ilvl w:val="0"/>
          <w:numId w:val="1015"/>
        </w:numPr>
        <w:pStyle w:val="Compact"/>
      </w:pPr>
      <w:r>
        <w:t xml:space="preserve">Proceso de mantenimiento de la arquitectura de referencia SOA 2.0 del FNA</w:t>
      </w:r>
    </w:p>
    <w:p>
      <w:pPr>
        <w:pStyle w:val="FirstParagraph"/>
      </w:pPr>
    </w:p>
    <w:bookmarkEnd w:id="116"/>
    <w:bookmarkStart w:id="117" w:name="criterios-de-aceptación-3"/>
    <w:p>
      <w:pPr>
        <w:pStyle w:val="Ttulo2"/>
      </w:pPr>
      <w:r>
        <w:t xml:space="preserve">Criterios de Aceptación</w:t>
      </w:r>
    </w:p>
    <w:p>
      <w:pPr>
        <w:numPr>
          <w:ilvl w:val="0"/>
          <w:numId w:val="1016"/>
        </w:numPr>
        <w:pStyle w:val="Compact"/>
      </w:pPr>
      <w:r>
        <w:t xml:space="preserve">Repositorio de arquitectura del FNA actualizado con arquitectura de referencia</w:t>
      </w:r>
    </w:p>
    <w:p>
      <w:pPr>
        <w:numPr>
          <w:ilvl w:val="0"/>
          <w:numId w:val="1016"/>
        </w:numPr>
        <w:pStyle w:val="Compact"/>
      </w:pPr>
      <w:r>
        <w:t xml:space="preserve">Entendimiento del proceso de mantenimiento de la arquitectura de referencia SOA 2.0 del FNA y sus implicaciones</w:t>
      </w:r>
    </w:p>
    <w:p>
      <w:pPr>
        <w:pStyle w:val="FirstParagraph"/>
      </w:pPr>
    </w:p>
    <w:bookmarkEnd w:id="117"/>
    <w:bookmarkStart w:id="122" w:name="X2260ad506a532d59ca3165e327d1d5490ed12e5"/>
    <w:p>
      <w:pPr>
        <w:pStyle w:val="Ttulo2"/>
      </w:pPr>
      <w:r>
        <w:t xml:space="preserve">Repositorio de Arquitectura del FNA, versión 0.1</w:t>
      </w:r>
    </w:p>
    <w:bookmarkStart w:id="0" w:name="fig:6e638c39-8b71-4013-ae74-4eeb2f489321"/>
    <w:p>
      <w:pPr>
        <w:pStyle w:val="CaptionedFigure"/>
      </w:pPr>
      <w:bookmarkStart w:id="121" w:name="fig:"/>
      <w:r>
        <w:drawing>
          <wp:inline>
            <wp:extent cx="5600700" cy="2790366"/>
            <wp:effectExtent b="0" l="0" r="0" t="0"/>
            <wp:docPr descr="Imagen 13: Artefactos del repositorio de arquitectura del FNA." title="" id="119" name="Picture"/>
            <a:graphic>
              <a:graphicData uri="http://schemas.openxmlformats.org/drawingml/2006/picture">
                <pic:pic>
                  <pic:nvPicPr>
                    <pic:cNvPr descr="images/repofna.png" id="120" name="Picture"/>
                    <pic:cNvPicPr>
                      <a:picLocks noChangeArrowheads="1" noChangeAspect="1"/>
                    </pic:cNvPicPr>
                  </pic:nvPicPr>
                  <pic:blipFill>
                    <a:blip r:embed="rId118"/>
                    <a:stretch>
                      <a:fillRect/>
                    </a:stretch>
                  </pic:blipFill>
                  <pic:spPr bwMode="auto">
                    <a:xfrm>
                      <a:off x="0" y="0"/>
                      <a:ext cx="5600700" cy="2790366"/>
                    </a:xfrm>
                    <a:prstGeom prst="rect">
                      <a:avLst/>
                    </a:prstGeom>
                    <a:noFill/>
                    <a:ln w="9525">
                      <a:noFill/>
                      <a:headEnd/>
                      <a:tailEnd/>
                    </a:ln>
                  </pic:spPr>
                </pic:pic>
              </a:graphicData>
            </a:graphic>
          </wp:inline>
        </w:drawing>
      </w:r>
      <w:bookmarkEnd w:id="121"/>
    </w:p>
    <w:p>
      <w:pPr>
        <w:pStyle w:val="ImageCaption"/>
      </w:pPr>
      <w:r>
        <w:t xml:space="preserve">Imagen 13: Artefactos del repositorio de arquitectura del FNA.</w:t>
      </w:r>
    </w:p>
    <w:bookmarkEnd w:id="0"/>
    <w:p>
      <w:pPr>
        <w:pStyle w:val="Textoindependiente"/>
      </w:pPr>
      <w:r>
        <w:rPr>
          <w:iCs/>
          <w:i/>
        </w:rPr>
        <w:t xml:space="preserve">Fuente: Diagnóstico SOA. E-Service (2022).</w:t>
      </w:r>
    </w:p>
    <w:bookmarkEnd w:id="122"/>
    <w:bookmarkStart w:id="127" w:name="modelo-de-implementación-del-pry02-3"/>
    <w:p>
      <w:pPr>
        <w:pStyle w:val="Ttulo2"/>
      </w:pPr>
      <w:r>
        <w:t xml:space="preserve">Modelo de Implementación del PRY02</w:t>
      </w:r>
    </w:p>
    <w:bookmarkStart w:id="0" w:name="fig:a0fd7acb-9017-496a-9cb4-143f5a60927a"/>
    <w:p>
      <w:pPr>
        <w:pStyle w:val="CaptionedFigure"/>
      </w:pPr>
      <w:bookmarkStart w:id="126" w:name="fig:"/>
      <w:r>
        <w:drawing>
          <wp:inline>
            <wp:extent cx="5600700" cy="4499951"/>
            <wp:effectExtent b="0" l="0" r="0" t="0"/>
            <wp:docPr descr="Imagen 14: Plan de Implementación del Proyecto Arquitectura de Referencia SOA 2.0 del FNA (PRY02), 2023. Junio 2023 a julio 2023" title="" id="124" name="Picture"/>
            <a:graphic>
              <a:graphicData uri="http://schemas.openxmlformats.org/drawingml/2006/picture">
                <pic:pic>
                  <pic:nvPicPr>
                    <pic:cNvPr descr="images/pry1gobierno.jpg" id="125" name="Picture"/>
                    <pic:cNvPicPr>
                      <a:picLocks noChangeArrowheads="1" noChangeAspect="1"/>
                    </pic:cNvPicPr>
                  </pic:nvPicPr>
                  <pic:blipFill>
                    <a:blip r:embed="rId123"/>
                    <a:stretch>
                      <a:fillRect/>
                    </a:stretch>
                  </pic:blipFill>
                  <pic:spPr bwMode="auto">
                    <a:xfrm>
                      <a:off x="0" y="0"/>
                      <a:ext cx="5600700" cy="4499951"/>
                    </a:xfrm>
                    <a:prstGeom prst="rect">
                      <a:avLst/>
                    </a:prstGeom>
                    <a:noFill/>
                    <a:ln w="9525">
                      <a:noFill/>
                      <a:headEnd/>
                      <a:tailEnd/>
                    </a:ln>
                  </pic:spPr>
                </pic:pic>
              </a:graphicData>
            </a:graphic>
          </wp:inline>
        </w:drawing>
      </w:r>
      <w:bookmarkEnd w:id="126"/>
    </w:p>
    <w:p>
      <w:pPr>
        <w:pStyle w:val="ImageCaption"/>
      </w:pPr>
      <w:r>
        <w:t xml:space="preserve">Imagen 14: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127"/>
    <w:bookmarkEnd w:id="128"/>
    <w:bookmarkStart w:id="140" w:name="referencias"/>
    <w:p>
      <w:pPr>
        <w:pStyle w:val="Ttulo1"/>
      </w:pPr>
      <w:r>
        <w:t xml:space="preserve">Referencias</w:t>
      </w:r>
    </w:p>
    <w:bookmarkStart w:id="139"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30"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9">
        <w:r>
          <w:rPr>
            <w:rStyle w:val="Hipervnculo"/>
          </w:rPr>
          <w:t xml:space="preserve">https://hwong23.github.io/fna-devdoc-f1/v/6497aef0f15c3591f0728e4c42cb2c26c13b43aa/</w:t>
        </w:r>
      </w:hyperlink>
    </w:p>
    <w:bookmarkEnd w:id="130"/>
    <w:bookmarkStart w:id="131"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9">
        <w:r>
          <w:rPr>
            <w:rStyle w:val="Hipervnculo"/>
          </w:rPr>
          <w:t xml:space="preserve">https://hwong23.github.io/fna-devdoc-f1/v/6497aef0f15c3591f0728e4c42cb2c26c13b43aa/</w:t>
        </w:r>
      </w:hyperlink>
    </w:p>
    <w:bookmarkEnd w:id="131"/>
    <w:bookmarkStart w:id="132"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9">
        <w:r>
          <w:rPr>
            <w:rStyle w:val="Hipervnculo"/>
          </w:rPr>
          <w:t xml:space="preserve">https://hwong23.github.io/fna-devdoc-f1/v/6497aef0f15c3591f0728e4c42cb2c26c13b43aa/</w:t>
        </w:r>
      </w:hyperlink>
    </w:p>
    <w:bookmarkEnd w:id="132"/>
    <w:bookmarkStart w:id="134"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3">
        <w:r>
          <w:rPr>
            <w:rStyle w:val="Hipervnculo"/>
          </w:rPr>
          <w:t xml:space="preserve">https://pubs.opengroup.org/architecture/togaf9-doc/arch/chap27.html</w:t>
        </w:r>
      </w:hyperlink>
    </w:p>
    <w:bookmarkEnd w:id="134"/>
    <w:bookmarkStart w:id="135"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3">
        <w:r>
          <w:rPr>
            <w:rStyle w:val="Hipervnculo"/>
          </w:rPr>
          <w:t xml:space="preserve">https://pubs.opengroup.org/architecture/togaf9-doc/arch/chap27.html</w:t>
        </w:r>
      </w:hyperlink>
    </w:p>
    <w:bookmarkEnd w:id="135"/>
    <w:bookmarkStart w:id="137"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6">
        <w:r>
          <w:rPr>
            <w:rStyle w:val="Hipervnculo"/>
          </w:rPr>
          <w:t xml:space="preserve">https://hwong23.github.io/fna-dd-f2-e1/</w:t>
        </w:r>
      </w:hyperlink>
    </w:p>
    <w:bookmarkEnd w:id="137"/>
    <w:bookmarkStart w:id="138"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6">
        <w:r>
          <w:rPr>
            <w:rStyle w:val="Hipervnculo"/>
          </w:rPr>
          <w:t xml:space="preserve">https://hwong23.github.io/fna-dd-f2-e1/</w:t>
        </w:r>
      </w:hyperlink>
    </w:p>
    <w:bookmarkEnd w:id="138"/>
    <w:bookmarkEnd w:id="139"/>
    <w:bookmarkEnd w:id="14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23" Target="media/rId123.jpg" /><Relationship Type="http://schemas.openxmlformats.org/officeDocument/2006/relationships/image" Id="rId35" Target="media/rId35.png" /><Relationship Type="http://schemas.openxmlformats.org/officeDocument/2006/relationships/image" Id="rId118" Target="media/rId118.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6" Target="https://hwong23.github.io/fna-dd-f2-e1/" TargetMode="External" /><Relationship Type="http://schemas.openxmlformats.org/officeDocument/2006/relationships/hyperlink" Id="rId20" Target="https://hwong23.github.io/fna-dd-f2-pry2-e0/v/ce91951f3c50c6c3cc59680d6d94c61f30108a0b/" TargetMode="External" /><Relationship Type="http://schemas.openxmlformats.org/officeDocument/2006/relationships/hyperlink" Id="rId129" Target="https://hwong23.github.io/fna-devdoc-f1/v/6497aef0f15c3591f0728e4c42cb2c26c13b43aa/" TargetMode="External" /><Relationship Type="http://schemas.openxmlformats.org/officeDocument/2006/relationships/hyperlink" Id="rId133"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6" Target="https://hwong23.github.io/fna-dd-f2-e1/" TargetMode="External" /><Relationship Type="http://schemas.openxmlformats.org/officeDocument/2006/relationships/hyperlink" Id="rId20" Target="https://hwong23.github.io/fna-dd-f2-pry2-e0/v/ce91951f3c50c6c3cc59680d6d94c61f30108a0b/" TargetMode="External" /><Relationship Type="http://schemas.openxmlformats.org/officeDocument/2006/relationships/hyperlink" Id="rId129" Target="https://hwong23.github.io/fna-devdoc-f1/v/6497aef0f15c3591f0728e4c42cb2c26c13b43aa/" TargetMode="External" /><Relationship Type="http://schemas.openxmlformats.org/officeDocument/2006/relationships/hyperlink" Id="rId133"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2023-07-24T10:31:14Z</dcterms:created>
  <dcterms:modified xsi:type="dcterms:W3CDTF">2023-07-24T10:31:14Z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