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STEF@f6c144c</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1.f6c144c de 25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1.f6c144c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1.f6c144c</w:t>
      </w:r>
    </w:p>
    <w:p>
      <w:pPr>
        <w:pStyle w:val="FirstParagraph"/>
      </w:pPr>
    </w:p>
    <w:bookmarkEnd w:id="30"/>
    <w:bookmarkStart w:id="38"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Arquitectura de Referencia SOA 2.0 del FNA. Contenido de los Productos Contractuales: desarrollo, sostenibilidad (gestión) de arquitectura de referencia.</w:t>
      </w:r>
    </w:p>
    <w:p>
      <w:pPr>
        <w:pStyle w:val="Textoindependiente"/>
      </w:pPr>
    </w:p>
    <w:bookmarkStart w:id="31" w:name="justificación"/>
    <w:p>
      <w:pPr>
        <w:pStyle w:val="Ttulo2"/>
      </w:pPr>
      <w:r>
        <w:t xml:space="preserve">Justificación</w:t>
      </w:r>
    </w:p>
    <w:p>
      <w:pPr>
        <w:pStyle w:val="FirstParagraph"/>
      </w:pPr>
      <w:r>
        <w:t xml:space="preserve">Adelantar la aprobación por parte del Fondo Naconal del Ahorro de los contenidos de los entregables del proyecto PRY02, en su Etapa 0, de la Hoja de Ruta E-Service, tal que garantice su continuidad y ejecución.</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 PRY02</w:t>
      </w:r>
    </w:p>
    <w:p>
      <w:pPr>
        <w:numPr>
          <w:ilvl w:val="0"/>
          <w:numId w:val="1002"/>
        </w:numPr>
        <w:pStyle w:val="Compact"/>
      </w:pPr>
      <w:r>
        <w:t xml:space="preserve">Justificación del segmento de la empresa requerido por el trabajo de arquitectura SOA de referencia 2.0</w:t>
      </w:r>
    </w:p>
    <w:p>
      <w:pPr>
        <w:numPr>
          <w:ilvl w:val="0"/>
          <w:numId w:val="1002"/>
        </w:numPr>
        <w:pStyle w:val="Compact"/>
      </w:pPr>
      <w:r>
        <w:t xml:space="preserve">Iniciativas y brechas sensibles al trabajo de arquitectura de referencia 2.0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brechas críticas del trabajo atendidos por la arquitectura de referencia SOA 2.0 del FNA</w:t>
      </w:r>
    </w:p>
    <w:p>
      <w:pPr>
        <w:numPr>
          <w:ilvl w:val="0"/>
          <w:numId w:val="1003"/>
        </w:numPr>
        <w:pStyle w:val="Compact"/>
      </w:pPr>
      <w:r>
        <w:t xml:space="preserve">Descripción de los ítems del segmento de la empresa del proyecto 2 (PRY02), Arquitectura de Referencia SOA 2.0 del FNA. Contenido de los Productos Contractuales</w:t>
      </w:r>
    </w:p>
    <w:p>
      <w:pPr>
        <w:pStyle w:val="FirstParagraph"/>
      </w:pPr>
    </w:p>
    <w:bookmarkEnd w:id="33"/>
    <w:bookmarkStart w:id="37" w:name="modelo-de-implementación-del-pry02"/>
    <w:p>
      <w:pPr>
        <w:pStyle w:val="Ttulo2"/>
      </w:pPr>
      <w:r>
        <w:t xml:space="preserve">Modelo de Implementación del PRY02</w:t>
      </w:r>
    </w:p>
    <w:bookmarkStart w:id="0" w:name="fig:80c563c7-b86b-4fa7-9984-6d29481cff3d"/>
    <w:p>
      <w:pPr>
        <w:pStyle w:val="FirstParagraph"/>
      </w:pPr>
      <w:bookmarkStart w:id="34" w:name="fig:"/>
      <w:r>
        <w:t xml:space="preserve">Imagen 1: Plan de Implementación del Proyecto Hoja de Ruta E-Service FNA, 2023. Abril 2023 a Agosto 2023</w:t>
      </w:r>
      <w:bookmarkEnd w:id="34"/>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1.f6c144c del 25 Jun 2023</w:t>
            </w:r>
          </w:p>
        </w:tc>
      </w:tr>
      <w:tr>
        <w:tc>
          <w:tcPr/>
          <w:p>
            <w:pPr>
              <w:pStyle w:val="Compact"/>
              <w:jc w:val="left"/>
            </w:pPr>
            <w:r>
              <w:t xml:space="preserve">Vínculos</w:t>
            </w:r>
          </w:p>
        </w:tc>
        <w:tc>
          <w:tcPr/>
          <w:p>
            <w:pPr>
              <w:pStyle w:val="Compact"/>
              <w:jc w:val="left"/>
            </w:pPr>
            <w:hyperlink r:id="rId35">
              <w:r>
                <w:rPr>
                  <w:rStyle w:val="Hipervnculo"/>
                </w:rPr>
                <w:t xml:space="preserve">N001d. Ejecución Plan de Trabajo SOA</w:t>
              </w:r>
            </w:hyperlink>
            <w:r>
              <w:t xml:space="preserve">;</w:t>
            </w:r>
            <w:r>
              <w:t xml:space="preserve"> </w:t>
            </w:r>
            <w:hyperlink r:id="rId36">
              <w:r>
                <w:rPr>
                  <w:rStyle w:val="Hipervnculo"/>
                </w:rPr>
                <w:t xml:space="preserve">N003a. Procesos de Negocio FNA</w:t>
              </w:r>
            </w:hyperlink>
          </w:p>
        </w:tc>
      </w:tr>
    </w:tbl>
    <w:p>
      <w:pPr>
        <w:pStyle w:val="Textoindependiente"/>
      </w:pPr>
    </w:p>
    <w:bookmarkEnd w:id="37"/>
    <w:bookmarkEnd w:id="38"/>
    <w:bookmarkStart w:id="50" w:name="Xfec879a391e4be25250b3f76a221c11ca8d002a"/>
    <w:p>
      <w:pPr>
        <w:pStyle w:val="Ttulo1"/>
      </w:pPr>
      <w:r>
        <w:t xml:space="preserve">Vista de Contexto Fase II, E-Service, 2023 (181-2020)</w:t>
      </w:r>
    </w:p>
    <w:bookmarkStart w:id="44"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2"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0" name="Picture"/>
            <a:graphic>
              <a:graphicData uri="http://schemas.openxmlformats.org/drawingml/2006/picture">
                <pic:pic>
                  <pic:nvPicPr>
                    <pic:cNvPr descr="images/segmentoFNAfaseII.jpg" id="41" name="Picture"/>
                    <pic:cNvPicPr>
                      <a:picLocks noChangeArrowheads="1" noChangeAspect="1"/>
                    </pic:cNvPicPr>
                  </pic:nvPicPr>
                  <pic:blipFill>
                    <a:blip r:embed="rId39"/>
                    <a:stretch>
                      <a:fillRect/>
                    </a:stretch>
                  </pic:blipFill>
                  <pic:spPr bwMode="auto">
                    <a:xfrm>
                      <a:off x="0" y="0"/>
                      <a:ext cx="5600700" cy="6506407"/>
                    </a:xfrm>
                    <a:prstGeom prst="rect">
                      <a:avLst/>
                    </a:prstGeom>
                    <a:noFill/>
                    <a:ln w="9525">
                      <a:noFill/>
                      <a:headEnd/>
                      <a:tailEnd/>
                    </a:ln>
                  </pic:spPr>
                </pic:pic>
              </a:graphicData>
            </a:graphic>
          </wp:inline>
        </w:drawing>
      </w:r>
      <w:bookmarkEnd w:id="42"/>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3">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4"/>
    <w:bookmarkStart w:id="49"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5"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5"/>
    <w:bookmarkStart w:id="46"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6"/>
    <w:bookmarkStart w:id="47"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7"/>
    <w:bookmarkStart w:id="48"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48"/>
    <w:bookmarkEnd w:id="49"/>
    <w:bookmarkEnd w:id="50"/>
    <w:bookmarkStart w:id="55" w:name="referencias"/>
    <w:p>
      <w:pPr>
        <w:pStyle w:val="Ttulo1"/>
      </w:pPr>
      <w:r>
        <w:t xml:space="preserve">Referencias</w:t>
      </w:r>
    </w:p>
    <w:bookmarkStart w:id="51" w:name="refs"/>
    <w:p>
      <w:pPr>
        <w:pStyle w:val="Bibliography"/>
      </w:pPr>
      <w:r>
        <w:t xml:space="preserve">E-Service. Situación SOA Actual del FNA. Etapa I. (2022).</w:t>
      </w:r>
    </w:p>
    <w:bookmarkEnd w:id="51"/>
    <w:bookmarkStart w:id="52" w:name="refs"/>
    <w:p>
      <w:pPr>
        <w:pStyle w:val="Bibliography"/>
      </w:pPr>
      <w:r>
        <w:t xml:space="preserve">E-Service. Arquitectura de Referencia del FNA. Etapa II. (2023).</w:t>
      </w:r>
    </w:p>
    <w:bookmarkEnd w:id="52"/>
    <w:bookmarkStart w:id="53" w:name="refs"/>
    <w:p>
      <w:pPr>
        <w:pStyle w:val="Bibliography"/>
      </w:pPr>
      <w:r>
        <w:t xml:space="preserve">E-Service. Hoja de Ruta e Iniciativas. Etapa III. (2023).</w:t>
      </w:r>
    </w:p>
    <w:bookmarkEnd w:id="53"/>
    <w:bookmarkStart w:id="54" w:name="refs"/>
    <w:p>
      <w:pPr>
        <w:pStyle w:val="Bibliography"/>
      </w:pPr>
      <w:r>
        <w:t xml:space="preserve">TOGAF 9.1. Risk Management (2023). En https://pubs.opengroup.org/architecture/togaf9-doc/arch/chap27.html</w:t>
      </w:r>
    </w:p>
    <w:bookmarkEnd w:id="54"/>
    <w:bookmarkEnd w:id="5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9" Target="media/rId39.jpg" /><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f6c144cbbcbf8db9b4940c39c13d87785c05897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f6c144cbbcbf8db9b4940c39c13d87785c05897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2023-06-25T17:35:31Z</dcterms:created>
  <dcterms:modified xsi:type="dcterms:W3CDTF">2023-06-25T17:35:31Z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